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34" w:rsidRPr="00233BE5" w:rsidRDefault="00493CE8" w:rsidP="00F95234">
      <w:pPr>
        <w:jc w:val="center"/>
        <w:rPr>
          <w:rFonts w:ascii="ＭＳ Ｐゴシック" w:eastAsia="ＭＳ Ｐゴシック" w:hAnsi="ＭＳ Ｐゴシック"/>
          <w:b/>
          <w:color w:val="000000" w:themeColor="text1"/>
          <w:sz w:val="28"/>
          <w:szCs w:val="28"/>
        </w:rPr>
      </w:pPr>
      <w:r w:rsidRPr="00233BE5">
        <w:rPr>
          <w:rFonts w:ascii="ＭＳ Ｐゴシック" w:eastAsia="ＭＳ Ｐゴシック" w:hAnsi="ＭＳ Ｐゴシック" w:hint="eastAsia"/>
          <w:b/>
          <w:color w:val="000000" w:themeColor="text1"/>
          <w:sz w:val="28"/>
          <w:szCs w:val="28"/>
        </w:rPr>
        <w:t>新光風台</w:t>
      </w:r>
      <w:r w:rsidR="0077785F" w:rsidRPr="00233BE5">
        <w:rPr>
          <w:rFonts w:ascii="ＭＳ Ｐゴシック" w:eastAsia="ＭＳ Ｐゴシック" w:hAnsi="ＭＳ Ｐゴシック" w:hint="eastAsia"/>
          <w:b/>
          <w:color w:val="000000" w:themeColor="text1"/>
          <w:sz w:val="28"/>
          <w:szCs w:val="28"/>
        </w:rPr>
        <w:t>２</w:t>
      </w:r>
      <w:r w:rsidRPr="00233BE5">
        <w:rPr>
          <w:rFonts w:ascii="ＭＳ Ｐゴシック" w:eastAsia="ＭＳ Ｐゴシック" w:hAnsi="ＭＳ Ｐゴシック" w:hint="eastAsia"/>
          <w:b/>
          <w:color w:val="000000" w:themeColor="text1"/>
          <w:sz w:val="28"/>
          <w:szCs w:val="28"/>
        </w:rPr>
        <w:t>丁目</w:t>
      </w:r>
      <w:r w:rsidR="0077785F" w:rsidRPr="00233BE5">
        <w:rPr>
          <w:rFonts w:ascii="ＭＳ Ｐゴシック" w:eastAsia="ＭＳ Ｐゴシック" w:hAnsi="ＭＳ Ｐゴシック" w:hint="eastAsia"/>
          <w:b/>
          <w:color w:val="000000" w:themeColor="text1"/>
          <w:sz w:val="28"/>
          <w:szCs w:val="28"/>
        </w:rPr>
        <w:t>１８</w:t>
      </w:r>
      <w:r w:rsidRPr="00233BE5">
        <w:rPr>
          <w:rFonts w:ascii="ＭＳ Ｐゴシック" w:eastAsia="ＭＳ Ｐゴシック" w:hAnsi="ＭＳ Ｐゴシック" w:hint="eastAsia"/>
          <w:b/>
          <w:color w:val="000000" w:themeColor="text1"/>
          <w:sz w:val="28"/>
          <w:szCs w:val="28"/>
        </w:rPr>
        <w:t>番地</w:t>
      </w:r>
      <w:r w:rsidR="00F95234" w:rsidRPr="00233BE5">
        <w:rPr>
          <w:rFonts w:ascii="ＭＳ Ｐゴシック" w:eastAsia="ＭＳ Ｐゴシック" w:hAnsi="ＭＳ Ｐゴシック" w:hint="eastAsia"/>
          <w:b/>
          <w:color w:val="000000" w:themeColor="text1"/>
          <w:sz w:val="28"/>
          <w:szCs w:val="28"/>
        </w:rPr>
        <w:t>地区</w:t>
      </w:r>
    </w:p>
    <w:tbl>
      <w:tblPr>
        <w:tblStyle w:val="a3"/>
        <w:tblW w:w="0" w:type="auto"/>
        <w:tblInd w:w="1250" w:type="dxa"/>
        <w:tblLook w:val="04A0"/>
      </w:tblPr>
      <w:tblGrid>
        <w:gridCol w:w="2268"/>
        <w:gridCol w:w="4510"/>
      </w:tblGrid>
      <w:tr w:rsidR="00F95234" w:rsidTr="00B901F1">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建築協定区域の面積</w:t>
            </w:r>
          </w:p>
        </w:tc>
        <w:tc>
          <w:tcPr>
            <w:tcW w:w="4510" w:type="dxa"/>
          </w:tcPr>
          <w:p w:rsidR="00F95234" w:rsidRDefault="009D7B69" w:rsidP="009D7B69">
            <w:pPr>
              <w:rPr>
                <w:rFonts w:asciiTheme="minorEastAsia" w:hAnsiTheme="minorEastAsia"/>
                <w:szCs w:val="21"/>
              </w:rPr>
            </w:pPr>
            <w:r>
              <w:rPr>
                <w:rFonts w:asciiTheme="minorEastAsia" w:hAnsiTheme="minorEastAsia" w:hint="eastAsia"/>
                <w:szCs w:val="21"/>
              </w:rPr>
              <w:t>５，００８</w:t>
            </w:r>
            <w:r w:rsidR="00B901F1">
              <w:rPr>
                <w:rFonts w:asciiTheme="minorEastAsia" w:hAnsiTheme="minorEastAsia" w:hint="eastAsia"/>
                <w:szCs w:val="21"/>
              </w:rPr>
              <w:t>．</w:t>
            </w:r>
            <w:r>
              <w:rPr>
                <w:rFonts w:asciiTheme="minorEastAsia" w:hAnsiTheme="minorEastAsia" w:hint="eastAsia"/>
                <w:szCs w:val="21"/>
              </w:rPr>
              <w:t>２７</w:t>
            </w:r>
            <w:r w:rsidR="00F95234">
              <w:rPr>
                <w:rFonts w:asciiTheme="minorEastAsia" w:hAnsiTheme="minorEastAsia" w:hint="eastAsia"/>
                <w:szCs w:val="21"/>
              </w:rPr>
              <w:t>㎡</w:t>
            </w:r>
          </w:p>
        </w:tc>
      </w:tr>
      <w:tr w:rsidR="00F95234" w:rsidTr="00B901F1">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区画数</w:t>
            </w:r>
          </w:p>
        </w:tc>
        <w:tc>
          <w:tcPr>
            <w:tcW w:w="4510" w:type="dxa"/>
          </w:tcPr>
          <w:p w:rsidR="00F95234" w:rsidRDefault="009D7B69" w:rsidP="00CE0AC8">
            <w:pPr>
              <w:rPr>
                <w:rFonts w:asciiTheme="minorEastAsia" w:hAnsiTheme="minorEastAsia"/>
                <w:szCs w:val="21"/>
              </w:rPr>
            </w:pPr>
            <w:r>
              <w:rPr>
                <w:rFonts w:asciiTheme="minorEastAsia" w:hAnsiTheme="minorEastAsia" w:hint="eastAsia"/>
                <w:szCs w:val="21"/>
              </w:rPr>
              <w:t>１５</w:t>
            </w:r>
            <w:r w:rsidR="00F95234">
              <w:rPr>
                <w:rFonts w:asciiTheme="minorEastAsia" w:hAnsiTheme="minorEastAsia" w:hint="eastAsia"/>
                <w:szCs w:val="21"/>
              </w:rPr>
              <w:t>区画</w:t>
            </w:r>
          </w:p>
        </w:tc>
      </w:tr>
      <w:tr w:rsidR="00F95234" w:rsidTr="00B901F1">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認可日</w:t>
            </w:r>
          </w:p>
        </w:tc>
        <w:tc>
          <w:tcPr>
            <w:tcW w:w="4510" w:type="dxa"/>
          </w:tcPr>
          <w:p w:rsidR="00F95234" w:rsidRDefault="00F95234" w:rsidP="007534DF">
            <w:pPr>
              <w:rPr>
                <w:rFonts w:asciiTheme="minorEastAsia" w:hAnsiTheme="minorEastAsia"/>
                <w:szCs w:val="21"/>
              </w:rPr>
            </w:pPr>
            <w:r>
              <w:rPr>
                <w:rFonts w:asciiTheme="minorEastAsia" w:hAnsiTheme="minorEastAsia" w:hint="eastAsia"/>
                <w:szCs w:val="21"/>
              </w:rPr>
              <w:t>平成</w:t>
            </w:r>
            <w:r w:rsidR="009D7B69">
              <w:rPr>
                <w:rFonts w:asciiTheme="minorEastAsia" w:hAnsiTheme="minorEastAsia" w:hint="eastAsia"/>
                <w:szCs w:val="21"/>
              </w:rPr>
              <w:t>２７</w:t>
            </w:r>
            <w:r>
              <w:rPr>
                <w:rFonts w:asciiTheme="minorEastAsia" w:hAnsiTheme="minorEastAsia" w:hint="eastAsia"/>
                <w:szCs w:val="21"/>
              </w:rPr>
              <w:t>年</w:t>
            </w:r>
            <w:r w:rsidR="009D7B69">
              <w:rPr>
                <w:rFonts w:asciiTheme="minorEastAsia" w:hAnsiTheme="minorEastAsia" w:hint="eastAsia"/>
                <w:szCs w:val="21"/>
              </w:rPr>
              <w:t>９</w:t>
            </w:r>
            <w:r>
              <w:rPr>
                <w:rFonts w:asciiTheme="minorEastAsia" w:hAnsiTheme="minorEastAsia" w:hint="eastAsia"/>
                <w:szCs w:val="21"/>
              </w:rPr>
              <w:t>月</w:t>
            </w:r>
            <w:r w:rsidR="009D7B69">
              <w:rPr>
                <w:rFonts w:asciiTheme="minorEastAsia" w:hAnsiTheme="minorEastAsia" w:hint="eastAsia"/>
                <w:szCs w:val="21"/>
              </w:rPr>
              <w:t>２５</w:t>
            </w:r>
            <w:r>
              <w:rPr>
                <w:rFonts w:asciiTheme="minorEastAsia" w:hAnsiTheme="minorEastAsia" w:hint="eastAsia"/>
                <w:szCs w:val="21"/>
              </w:rPr>
              <w:t>日</w:t>
            </w:r>
          </w:p>
        </w:tc>
      </w:tr>
      <w:tr w:rsidR="00F95234" w:rsidTr="00B901F1">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有効期間</w:t>
            </w:r>
          </w:p>
        </w:tc>
        <w:tc>
          <w:tcPr>
            <w:tcW w:w="4510" w:type="dxa"/>
          </w:tcPr>
          <w:p w:rsidR="00F95234" w:rsidRDefault="00F95234" w:rsidP="009D7B69">
            <w:pPr>
              <w:rPr>
                <w:rFonts w:asciiTheme="minorEastAsia" w:hAnsiTheme="minorEastAsia"/>
                <w:szCs w:val="21"/>
              </w:rPr>
            </w:pPr>
            <w:r>
              <w:rPr>
                <w:rFonts w:asciiTheme="minorEastAsia" w:hAnsiTheme="minorEastAsia" w:hint="eastAsia"/>
                <w:szCs w:val="21"/>
              </w:rPr>
              <w:t>認可日から</w:t>
            </w:r>
            <w:r w:rsidR="009D7B69">
              <w:rPr>
                <w:rFonts w:asciiTheme="minorEastAsia" w:hAnsiTheme="minorEastAsia" w:hint="eastAsia"/>
                <w:szCs w:val="21"/>
              </w:rPr>
              <w:t>２０</w:t>
            </w:r>
            <w:r>
              <w:rPr>
                <w:rFonts w:asciiTheme="minorEastAsia" w:hAnsiTheme="minorEastAsia" w:hint="eastAsia"/>
                <w:szCs w:val="21"/>
              </w:rPr>
              <w:t>年間</w:t>
            </w:r>
          </w:p>
        </w:tc>
      </w:tr>
      <w:tr w:rsidR="00F95234" w:rsidTr="00B901F1">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用途地域</w:t>
            </w:r>
          </w:p>
        </w:tc>
        <w:tc>
          <w:tcPr>
            <w:tcW w:w="4510" w:type="dxa"/>
          </w:tcPr>
          <w:p w:rsidR="00F95234" w:rsidRDefault="00B901F1" w:rsidP="00B901F1">
            <w:pPr>
              <w:rPr>
                <w:rFonts w:asciiTheme="minorEastAsia" w:hAnsiTheme="minorEastAsia"/>
                <w:szCs w:val="21"/>
              </w:rPr>
            </w:pPr>
            <w:r>
              <w:rPr>
                <w:rFonts w:asciiTheme="minorEastAsia" w:hAnsiTheme="minorEastAsia" w:hint="eastAsia"/>
                <w:szCs w:val="21"/>
              </w:rPr>
              <w:t>近隣商業地域</w:t>
            </w:r>
          </w:p>
        </w:tc>
      </w:tr>
    </w:tbl>
    <w:p w:rsidR="00F95234" w:rsidRPr="00D519B6" w:rsidRDefault="00F95234" w:rsidP="00F95234">
      <w:pPr>
        <w:rPr>
          <w:rFonts w:asciiTheme="minorEastAsia" w:hAnsiTheme="minorEastAsia"/>
          <w:szCs w:val="21"/>
        </w:rPr>
      </w:pPr>
    </w:p>
    <w:p w:rsidR="00F95234" w:rsidRDefault="00F95234" w:rsidP="00F95234">
      <w:pPr>
        <w:rPr>
          <w:rFonts w:asciiTheme="minorEastAsia" w:hAnsiTheme="minorEastAsia"/>
          <w:szCs w:val="21"/>
        </w:rPr>
      </w:pPr>
      <w:r>
        <w:rPr>
          <w:rFonts w:asciiTheme="minorEastAsia" w:hAnsiTheme="minorEastAsia" w:hint="eastAsia"/>
          <w:szCs w:val="21"/>
        </w:rPr>
        <w:t>■建築物の基準の概要（協定書抜粋）</w:t>
      </w:r>
    </w:p>
    <w:p w:rsidR="00111A55" w:rsidRDefault="00900120" w:rsidP="00111A55">
      <w:pPr>
        <w:rPr>
          <w:rFonts w:ascii="Century" w:eastAsia="ＭＳ 明朝" w:hAnsi="Century" w:cs="Times New Roman" w:hint="eastAsia"/>
        </w:rPr>
      </w:pPr>
      <w:r>
        <w:rPr>
          <w:rFonts w:ascii="Century" w:eastAsia="ＭＳ 明朝" w:hAnsi="Century" w:cs="Times New Roman" w:hint="eastAsia"/>
        </w:rPr>
        <w:t>第</w:t>
      </w:r>
      <w:r w:rsidR="00111A55">
        <w:rPr>
          <w:rFonts w:ascii="Century" w:eastAsia="ＭＳ 明朝" w:hAnsi="Century" w:cs="Times New Roman" w:hint="eastAsia"/>
        </w:rPr>
        <w:t>第７条（建築物に関する制限）</w:t>
      </w:r>
    </w:p>
    <w:p w:rsidR="00111A55" w:rsidRDefault="00111A55" w:rsidP="00111A55">
      <w:pPr>
        <w:ind w:left="420" w:hangingChars="200" w:hanging="420"/>
        <w:rPr>
          <w:rFonts w:ascii="Century" w:eastAsia="ＭＳ 明朝" w:hAnsi="Century" w:cs="Times New Roman" w:hint="eastAsia"/>
        </w:rPr>
      </w:pPr>
      <w:r>
        <w:rPr>
          <w:rFonts w:ascii="Century" w:eastAsia="ＭＳ 明朝" w:hAnsi="Century" w:cs="Times New Roman" w:hint="eastAsia"/>
        </w:rPr>
        <w:t xml:space="preserve">　　本協定区域内の建築物の敷地、位置、構造、用途、形態</w:t>
      </w:r>
      <w:r w:rsidRPr="00325F92">
        <w:rPr>
          <w:rFonts w:ascii="Century" w:eastAsia="ＭＳ 明朝" w:hAnsi="Century" w:cs="Times New Roman" w:hint="eastAsia"/>
          <w:color w:val="000000"/>
        </w:rPr>
        <w:t xml:space="preserve"> </w:t>
      </w:r>
      <w:r w:rsidRPr="00325F92">
        <w:rPr>
          <w:rFonts w:ascii="Century" w:eastAsia="ＭＳ 明朝" w:hAnsi="Century" w:cs="Times New Roman" w:hint="eastAsia"/>
          <w:color w:val="000000"/>
        </w:rPr>
        <w:t>、意匠又は</w:t>
      </w:r>
      <w:r>
        <w:rPr>
          <w:rFonts w:ascii="Century" w:eastAsia="ＭＳ 明朝" w:hAnsi="Century" w:cs="Times New Roman" w:hint="eastAsia"/>
        </w:rPr>
        <w:t>建築設備は、次の各号に定める基準によらなければならない。</w:t>
      </w:r>
    </w:p>
    <w:p w:rsidR="00111A55" w:rsidRDefault="00111A55" w:rsidP="00111A55">
      <w:pPr>
        <w:ind w:left="840" w:hangingChars="400" w:hanging="840"/>
        <w:rPr>
          <w:rFonts w:ascii="Century" w:eastAsia="ＭＳ 明朝" w:hAnsi="Century" w:cs="Times New Roman" w:hint="eastAsia"/>
        </w:rPr>
      </w:pPr>
      <w:r>
        <w:rPr>
          <w:rFonts w:ascii="Century" w:eastAsia="ＭＳ 明朝" w:hAnsi="Century" w:cs="Times New Roman" w:hint="eastAsia"/>
        </w:rPr>
        <w:t xml:space="preserve">　　（１）宅地の地盤面の高さは、現況地盤面より高くしてはならない。但し、現況地盤面とは、地産トーカン株式会社が譲渡を行ったとき（以下「譲渡時」という。）の地盤面をいう。</w:t>
      </w:r>
    </w:p>
    <w:p w:rsidR="00111A55" w:rsidRDefault="00111A55" w:rsidP="00111A55">
      <w:pPr>
        <w:ind w:left="840" w:hangingChars="400" w:hanging="840"/>
        <w:rPr>
          <w:rFonts w:ascii="Century" w:eastAsia="ＭＳ 明朝" w:hAnsi="Century" w:cs="Times New Roman" w:hint="eastAsia"/>
        </w:rPr>
      </w:pPr>
      <w:r>
        <w:rPr>
          <w:rFonts w:ascii="Century" w:eastAsia="ＭＳ 明朝" w:hAnsi="Century" w:cs="Times New Roman" w:hint="eastAsia"/>
        </w:rPr>
        <w:t xml:space="preserve">　　（２）建築物は、譲渡時における１区画１棟とする。但し、物置、自動車車庫及び上屋等（以下「付属建築物」という。）はこの限りではない。なお、２以上の連続する区画に１棟とすることも妨げない。また、区画を再分割する場合は、地産トーカン株式会社が造成を行った時の区画数を越えず、かつ建築物の敷地面積の最低限度は２００㎡とする。１</w:t>
      </w:r>
    </w:p>
    <w:p w:rsidR="00111A55" w:rsidRDefault="00111A55" w:rsidP="00111A55">
      <w:pPr>
        <w:ind w:left="840" w:hangingChars="400" w:hanging="840"/>
        <w:rPr>
          <w:rFonts w:ascii="Century" w:eastAsia="ＭＳ 明朝" w:hAnsi="Century" w:cs="Times New Roman" w:hint="eastAsia"/>
        </w:rPr>
      </w:pPr>
      <w:r>
        <w:rPr>
          <w:rFonts w:ascii="Century" w:eastAsia="ＭＳ 明朝" w:hAnsi="Century" w:cs="Times New Roman" w:hint="eastAsia"/>
        </w:rPr>
        <w:t xml:space="preserve">　　（３）建築物の軒高は１０ｍ以下とし、階数は地上３階以下とする。また、３階の屋上は使用できないものとする。</w:t>
      </w:r>
    </w:p>
    <w:p w:rsidR="00111A55" w:rsidRDefault="00111A55" w:rsidP="00111A55">
      <w:pPr>
        <w:ind w:left="840" w:hangingChars="400" w:hanging="840"/>
        <w:rPr>
          <w:rFonts w:ascii="Century" w:eastAsia="ＭＳ 明朝" w:hAnsi="Century" w:cs="Times New Roman" w:hint="eastAsia"/>
        </w:rPr>
      </w:pPr>
      <w:r>
        <w:rPr>
          <w:rFonts w:ascii="Century" w:eastAsia="ＭＳ 明朝" w:hAnsi="Century" w:cs="Times New Roman" w:hint="eastAsia"/>
        </w:rPr>
        <w:t xml:space="preserve">　　（４）建築物の外壁又はこれに代わる柱の面から、敷地境界線までの距離（以下「外壁の後退距離」という。）は、道路境界線に接する部分にあっては２ｍ以上、その他の部分にあっては１ｍ以上とする。（道路と敷地の間にゴミ置き場がある場合は、ゴミ置き場と道路との境界線を当該敷地の境界線とみなして外壁の後退距離を算定する。）但し、次のア）</w:t>
      </w:r>
      <w:r>
        <w:rPr>
          <w:rFonts w:ascii="Century" w:eastAsia="ＭＳ 明朝" w:hAnsi="Century" w:cs="Times New Roman" w:hint="eastAsia"/>
        </w:rPr>
        <w:t>~</w:t>
      </w:r>
      <w:r>
        <w:rPr>
          <w:rFonts w:ascii="Century" w:eastAsia="ＭＳ 明朝" w:hAnsi="Century" w:cs="Times New Roman" w:hint="eastAsia"/>
        </w:rPr>
        <w:t>イ）のいずれかに該当する場合は、この限りではない。</w:t>
      </w:r>
    </w:p>
    <w:p w:rsidR="00111A55" w:rsidRDefault="00111A55" w:rsidP="00111A55">
      <w:pPr>
        <w:ind w:firstLineChars="400" w:firstLine="840"/>
        <w:rPr>
          <w:rFonts w:ascii="Century" w:eastAsia="ＭＳ 明朝" w:hAnsi="Century" w:cs="Times New Roman" w:hint="eastAsia"/>
        </w:rPr>
      </w:pPr>
      <w:r>
        <w:rPr>
          <w:rFonts w:ascii="Century" w:eastAsia="ＭＳ 明朝" w:hAnsi="Century" w:cs="Times New Roman" w:hint="eastAsia"/>
        </w:rPr>
        <w:t>（補足説明図参照）</w:t>
      </w:r>
    </w:p>
    <w:p w:rsidR="00111A55" w:rsidRDefault="00111A55" w:rsidP="00111A55">
      <w:pPr>
        <w:numPr>
          <w:ilvl w:val="0"/>
          <w:numId w:val="3"/>
        </w:numPr>
        <w:rPr>
          <w:rFonts w:ascii="Century" w:eastAsia="ＭＳ 明朝" w:hAnsi="Century" w:cs="Times New Roman" w:hint="eastAsia"/>
        </w:rPr>
      </w:pPr>
      <w:r>
        <w:rPr>
          <w:rFonts w:ascii="Century" w:eastAsia="ＭＳ 明朝" w:hAnsi="Century" w:cs="Times New Roman" w:hint="eastAsia"/>
        </w:rPr>
        <w:t>外壁の後退距離の限度に満たない部分の外壁又はこれに代わる柱の中心線の長さの合計が３ｍ以下の建築物。</w:t>
      </w:r>
    </w:p>
    <w:p w:rsidR="00111A55" w:rsidRDefault="00111A55" w:rsidP="00111A55">
      <w:pPr>
        <w:numPr>
          <w:ilvl w:val="0"/>
          <w:numId w:val="3"/>
        </w:numPr>
        <w:rPr>
          <w:rFonts w:ascii="Century" w:eastAsia="ＭＳ 明朝" w:hAnsi="Century" w:cs="Times New Roman" w:hint="eastAsia"/>
        </w:rPr>
      </w:pPr>
      <w:r>
        <w:rPr>
          <w:rFonts w:ascii="Century" w:eastAsia="ＭＳ 明朝" w:hAnsi="Century" w:cs="Times New Roman" w:hint="eastAsia"/>
        </w:rPr>
        <w:t>付属建築物で、軒の高さが２．３ｍ以下で且つ、外壁の後退距離の限度に満たない部分の床面積の合計が５㎡以下のもの。</w:t>
      </w:r>
    </w:p>
    <w:p w:rsidR="00111A55" w:rsidRDefault="00111A55" w:rsidP="00111A55">
      <w:pPr>
        <w:ind w:left="1050" w:hangingChars="500" w:hanging="1050"/>
        <w:rPr>
          <w:rFonts w:ascii="Century" w:eastAsia="ＭＳ 明朝" w:hAnsi="Century" w:cs="Times New Roman" w:hint="eastAsia"/>
        </w:rPr>
      </w:pPr>
      <w:r>
        <w:rPr>
          <w:rFonts w:ascii="Century" w:eastAsia="ＭＳ 明朝" w:hAnsi="Century" w:cs="Times New Roman" w:hint="eastAsia"/>
        </w:rPr>
        <w:t xml:space="preserve">　　（５）譲渡時に築造されている石積、擁壁、及び構造物等の天端より外周境界線方向の空間へ工作物を張り出したり延長してはならない。但し、軒の出およびひさしについてはこの限りではない。</w:t>
      </w:r>
    </w:p>
    <w:p w:rsidR="00111A55" w:rsidRDefault="00111A55" w:rsidP="00111A55">
      <w:pPr>
        <w:ind w:firstLineChars="500" w:firstLine="1050"/>
        <w:rPr>
          <w:rFonts w:ascii="Century" w:eastAsia="ＭＳ 明朝" w:hAnsi="Century" w:cs="Times New Roman" w:hint="eastAsia"/>
        </w:rPr>
      </w:pPr>
      <w:r>
        <w:rPr>
          <w:rFonts w:ascii="Century" w:eastAsia="ＭＳ 明朝" w:hAnsi="Century" w:cs="Times New Roman" w:hint="eastAsia"/>
        </w:rPr>
        <w:t>（補足説明図参照）</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（６）外壁および屋根の色は原色（大阪府景観計画区域の北摂山系区域における色彩</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基準に適合しない色をいう。）を用いてはならない。</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（７）各建築物の主たる出入口は、共有敷地に面して設置しなければならない。</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（８）郵便受け、各設備メーター類、受電ポール等は道路に面して設置しなければならない。</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（９）自動車車庫は共有敷地に面して設置してはならない。</w:t>
      </w:r>
    </w:p>
    <w:p w:rsidR="00111A55" w:rsidRDefault="00111A55" w:rsidP="00111A55">
      <w:pPr>
        <w:ind w:left="840" w:hangingChars="400" w:hanging="840"/>
        <w:rPr>
          <w:rFonts w:ascii="Century" w:eastAsia="ＭＳ 明朝" w:hAnsi="Century" w:cs="Times New Roman" w:hint="eastAsia"/>
        </w:rPr>
      </w:pPr>
      <w:r>
        <w:rPr>
          <w:rFonts w:ascii="Century" w:eastAsia="ＭＳ 明朝" w:hAnsi="Century" w:cs="Times New Roman" w:hint="eastAsia"/>
        </w:rPr>
        <w:t xml:space="preserve">　　（</w:t>
      </w:r>
      <w:r>
        <w:rPr>
          <w:rFonts w:ascii="Century" w:eastAsia="ＭＳ 明朝" w:hAnsi="Century" w:cs="Times New Roman" w:hint="eastAsia"/>
        </w:rPr>
        <w:t>10</w:t>
      </w:r>
      <w:r>
        <w:rPr>
          <w:rFonts w:ascii="Century" w:eastAsia="ＭＳ 明朝" w:hAnsi="Century" w:cs="Times New Roman" w:hint="eastAsia"/>
        </w:rPr>
        <w:t>）宅地には極力植樹を行うものとし、特に道路境界線側及び共有敷地との境界線側は密植するなどにより緑化に努めるものとする。</w:t>
      </w:r>
    </w:p>
    <w:p w:rsidR="00111A55" w:rsidRDefault="00111A55" w:rsidP="00111A55">
      <w:pPr>
        <w:ind w:left="840" w:hangingChars="400" w:hanging="840"/>
        <w:rPr>
          <w:rFonts w:hint="eastAsia"/>
        </w:rPr>
      </w:pPr>
      <w:r>
        <w:rPr>
          <w:rFonts w:ascii="Century" w:eastAsia="ＭＳ 明朝" w:hAnsi="Century" w:cs="Times New Roman" w:hint="eastAsia"/>
        </w:rPr>
        <w:t xml:space="preserve">　　（</w:t>
      </w:r>
      <w:r>
        <w:rPr>
          <w:rFonts w:ascii="Century" w:eastAsia="ＭＳ 明朝" w:hAnsi="Century" w:cs="Times New Roman" w:hint="eastAsia"/>
        </w:rPr>
        <w:t>11</w:t>
      </w:r>
      <w:r>
        <w:rPr>
          <w:rFonts w:ascii="Century" w:eastAsia="ＭＳ 明朝" w:hAnsi="Century" w:cs="Times New Roman" w:hint="eastAsia"/>
        </w:rPr>
        <w:t>）道路及び共有地に面する垣または柵の構造は、生垣、パイプフェンス、ネットフェンスその他これに類するものとする。</w:t>
      </w:r>
    </w:p>
    <w:p w:rsidR="00111A55" w:rsidRPr="00262B64" w:rsidRDefault="00111A55" w:rsidP="00111A55">
      <w:pPr>
        <w:ind w:leftChars="200" w:left="945" w:hangingChars="250" w:hanging="525"/>
        <w:rPr>
          <w:rFonts w:ascii="Century" w:eastAsia="ＭＳ 明朝" w:hAnsi="Century" w:cs="Times New Roman" w:hint="eastAsia"/>
        </w:rPr>
      </w:pPr>
      <w:r>
        <w:rPr>
          <w:rFonts w:ascii="Century" w:eastAsia="ＭＳ 明朝" w:hAnsi="Century" w:cs="Times New Roman" w:hint="eastAsia"/>
        </w:rPr>
        <w:t>（</w:t>
      </w:r>
      <w:r>
        <w:rPr>
          <w:rFonts w:ascii="Century" w:eastAsia="ＭＳ 明朝" w:hAnsi="Century" w:cs="Times New Roman" w:hint="eastAsia"/>
        </w:rPr>
        <w:t>12</w:t>
      </w:r>
      <w:r>
        <w:rPr>
          <w:rFonts w:ascii="Century" w:eastAsia="ＭＳ 明朝" w:hAnsi="Century" w:cs="Times New Roman" w:hint="eastAsia"/>
        </w:rPr>
        <w:t>）建築物の用途は、専用住宅又は建築基準法施行令第１３０条の３に定める兼用　　　　　住宅とする。</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第</w:t>
      </w:r>
      <w:r>
        <w:rPr>
          <w:rFonts w:ascii="Century" w:eastAsia="ＭＳ 明朝" w:hAnsi="Century" w:cs="Times New Roman" w:hint="eastAsia"/>
        </w:rPr>
        <w:t>8</w:t>
      </w:r>
      <w:r>
        <w:rPr>
          <w:rFonts w:ascii="Century" w:eastAsia="ＭＳ 明朝" w:hAnsi="Century" w:cs="Times New Roman" w:hint="eastAsia"/>
        </w:rPr>
        <w:t>条（共有敷地に関する制限）</w:t>
      </w:r>
    </w:p>
    <w:p w:rsidR="00111A55" w:rsidRDefault="00111A55" w:rsidP="00111A55">
      <w:pPr>
        <w:rPr>
          <w:rFonts w:ascii="Century" w:eastAsia="ＭＳ 明朝" w:hAnsi="Century" w:cs="Times New Roman" w:hint="eastAsia"/>
        </w:rPr>
      </w:pPr>
      <w:r>
        <w:rPr>
          <w:rFonts w:ascii="Century" w:eastAsia="ＭＳ 明朝" w:hAnsi="Century" w:cs="Times New Roman" w:hint="eastAsia"/>
        </w:rPr>
        <w:t xml:space="preserve">　　設定区域内の共有敷地については、次の各号に定める基準によらなければならない。</w:t>
      </w:r>
    </w:p>
    <w:p w:rsidR="00111A55" w:rsidRDefault="00111A55" w:rsidP="00111A55">
      <w:pPr>
        <w:ind w:leftChars="200" w:left="735" w:hangingChars="150" w:hanging="315"/>
        <w:rPr>
          <w:rFonts w:ascii="Century" w:eastAsia="ＭＳ 明朝" w:hAnsi="Century" w:cs="Times New Roman" w:hint="eastAsia"/>
        </w:rPr>
      </w:pPr>
      <w:r>
        <w:rPr>
          <w:rFonts w:ascii="Century" w:eastAsia="ＭＳ 明朝" w:hAnsi="Century" w:cs="Times New Roman" w:hint="eastAsia"/>
        </w:rPr>
        <w:t>（１）共有敷地の位置区画形状、地盤高さ、土地利用の形態は、譲渡時と同じ状態を保たなければならない。</w:t>
      </w:r>
    </w:p>
    <w:p w:rsidR="00111A55" w:rsidRPr="006134AA" w:rsidRDefault="00111A55" w:rsidP="00111A55">
      <w:pPr>
        <w:ind w:left="945" w:hangingChars="450" w:hanging="945"/>
        <w:rPr>
          <w:rFonts w:ascii="Century" w:eastAsia="ＭＳ 明朝" w:hAnsi="Century" w:cs="Times New Roman" w:hint="eastAsia"/>
        </w:rPr>
      </w:pPr>
      <w:r>
        <w:rPr>
          <w:rFonts w:ascii="Century" w:eastAsia="ＭＳ 明朝" w:hAnsi="Century" w:cs="Times New Roman" w:hint="eastAsia"/>
        </w:rPr>
        <w:lastRenderedPageBreak/>
        <w:t xml:space="preserve">　　（２）</w:t>
      </w:r>
      <w:r>
        <w:rPr>
          <w:rFonts w:ascii="Century" w:eastAsia="ＭＳ 明朝" w:hAnsi="Century" w:cs="Times New Roman" w:hint="eastAsia"/>
        </w:rPr>
        <w:t xml:space="preserve"> </w:t>
      </w:r>
      <w:r>
        <w:rPr>
          <w:rFonts w:ascii="Century" w:eastAsia="ＭＳ 明朝" w:hAnsi="Century" w:cs="Times New Roman" w:hint="eastAsia"/>
        </w:rPr>
        <w:t>共有敷地は住民の通行・交流を目的として利用するものとし、共有敷地内には、特定個人の工作物・建築物の設置をしてはならない。また、個人の所有物を第１２条に定める委員会の許可なく放置してはいけない。</w:t>
      </w:r>
    </w:p>
    <w:p w:rsidR="00111A55" w:rsidRDefault="00111A55" w:rsidP="00111A55">
      <w:pPr>
        <w:rPr>
          <w:rFonts w:hint="eastAsia"/>
        </w:rPr>
      </w:pPr>
      <w:r>
        <w:rPr>
          <w:rFonts w:ascii="Century" w:eastAsia="ＭＳ 明朝" w:hAnsi="Century" w:cs="Times New Roman" w:hint="eastAsia"/>
        </w:rPr>
        <w:t xml:space="preserve">　　（３）共有敷地と各専用敷地との境界線は隣地境界線とする。</w:t>
      </w:r>
    </w:p>
    <w:p w:rsidR="00ED7D92" w:rsidRDefault="00ED7D92" w:rsidP="00111A55">
      <w:pPr>
        <w:rPr>
          <w:rFonts w:hint="eastAsia"/>
        </w:rPr>
      </w:pPr>
    </w:p>
    <w:p w:rsidR="00ED7D92" w:rsidRDefault="00ED7D92" w:rsidP="00111A55">
      <w:pPr>
        <w:rPr>
          <w:rFonts w:hint="eastAsia"/>
        </w:rPr>
      </w:pPr>
    </w:p>
    <w:p w:rsidR="00F95234" w:rsidRDefault="003C201C" w:rsidP="00111A55">
      <w:pPr>
        <w:rPr>
          <w:rFonts w:ascii="ＭＳ Ｐゴシック" w:eastAsia="ＭＳ Ｐゴシック" w:hAnsi="ＭＳ Ｐゴシック"/>
          <w:b/>
          <w:sz w:val="32"/>
          <w:szCs w:val="32"/>
          <w:bdr w:val="single" w:sz="4" w:space="0" w:color="auto"/>
        </w:rPr>
      </w:pPr>
      <w:r>
        <w:rPr>
          <w:rFonts w:ascii="ＭＳ Ｐゴシック" w:eastAsia="ＭＳ Ｐゴシック" w:hAnsi="ＭＳ Ｐゴシック" w:hint="eastAsia"/>
          <w:b/>
          <w:sz w:val="32"/>
          <w:szCs w:val="32"/>
          <w:bdr w:val="single" w:sz="4" w:space="0" w:color="auto"/>
        </w:rPr>
        <w:t>新光風台</w:t>
      </w:r>
      <w:r w:rsidR="00FC2727">
        <w:rPr>
          <w:rFonts w:ascii="ＭＳ Ｐゴシック" w:eastAsia="ＭＳ Ｐゴシック" w:hAnsi="ＭＳ Ｐゴシック" w:hint="eastAsia"/>
          <w:b/>
          <w:sz w:val="32"/>
          <w:szCs w:val="32"/>
          <w:bdr w:val="single" w:sz="4" w:space="0" w:color="auto"/>
        </w:rPr>
        <w:t>２</w:t>
      </w:r>
      <w:r>
        <w:rPr>
          <w:rFonts w:ascii="ＭＳ Ｐゴシック" w:eastAsia="ＭＳ Ｐゴシック" w:hAnsi="ＭＳ Ｐゴシック" w:hint="eastAsia"/>
          <w:b/>
          <w:sz w:val="32"/>
          <w:szCs w:val="32"/>
          <w:bdr w:val="single" w:sz="4" w:space="0" w:color="auto"/>
        </w:rPr>
        <w:t>丁目</w:t>
      </w:r>
      <w:r w:rsidR="00FC2727">
        <w:rPr>
          <w:rFonts w:ascii="ＭＳ Ｐゴシック" w:eastAsia="ＭＳ Ｐゴシック" w:hAnsi="ＭＳ Ｐゴシック" w:hint="eastAsia"/>
          <w:b/>
          <w:sz w:val="32"/>
          <w:szCs w:val="32"/>
          <w:bdr w:val="single" w:sz="4" w:space="0" w:color="auto"/>
        </w:rPr>
        <w:t>１８</w:t>
      </w:r>
      <w:r>
        <w:rPr>
          <w:rFonts w:ascii="ＭＳ Ｐゴシック" w:eastAsia="ＭＳ Ｐゴシック" w:hAnsi="ＭＳ Ｐゴシック" w:hint="eastAsia"/>
          <w:b/>
          <w:sz w:val="32"/>
          <w:szCs w:val="32"/>
          <w:bdr w:val="single" w:sz="4" w:space="0" w:color="auto"/>
        </w:rPr>
        <w:t>番地</w:t>
      </w:r>
      <w:r w:rsidR="00F95234" w:rsidRPr="00B13706">
        <w:rPr>
          <w:rFonts w:ascii="ＭＳ Ｐゴシック" w:eastAsia="ＭＳ Ｐゴシック" w:hAnsi="ＭＳ Ｐゴシック" w:hint="eastAsia"/>
          <w:b/>
          <w:sz w:val="32"/>
          <w:szCs w:val="32"/>
          <w:bdr w:val="single" w:sz="4" w:space="0" w:color="auto"/>
        </w:rPr>
        <w:t>地区建築協定区域図</w:t>
      </w:r>
    </w:p>
    <w:p w:rsidR="00D503F5" w:rsidRDefault="00D503F5"/>
    <w:p w:rsidR="00252CF7" w:rsidRDefault="00ED7D92" w:rsidP="00ED7D92">
      <w:pPr>
        <w:ind w:firstLineChars="700" w:firstLine="1476"/>
        <w:rPr>
          <w:b/>
        </w:rPr>
      </w:pPr>
      <w:r>
        <w:rPr>
          <w:b/>
          <w:noProof/>
        </w:rPr>
        <w:drawing>
          <wp:anchor distT="0" distB="0" distL="114300" distR="114300" simplePos="0" relativeHeight="251663360" behindDoc="1" locked="0" layoutInCell="1" allowOverlap="1">
            <wp:simplePos x="0" y="0"/>
            <wp:positionH relativeFrom="column">
              <wp:posOffset>-20320</wp:posOffset>
            </wp:positionH>
            <wp:positionV relativeFrom="paragraph">
              <wp:posOffset>8255</wp:posOffset>
            </wp:positionV>
            <wp:extent cx="5854065" cy="3015615"/>
            <wp:effectExtent l="19050" t="0" r="0" b="0"/>
            <wp:wrapNone/>
            <wp:docPr id="5" name="図 2" descr="D:\User\tanaka0682\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tanaka0682\Desktop\無題.jpg"/>
                    <pic:cNvPicPr>
                      <a:picLocks noChangeAspect="1" noChangeArrowheads="1"/>
                    </pic:cNvPicPr>
                  </pic:nvPicPr>
                  <pic:blipFill>
                    <a:blip r:embed="rId8" cstate="print"/>
                    <a:srcRect/>
                    <a:stretch>
                      <a:fillRect/>
                    </a:stretch>
                  </pic:blipFill>
                  <pic:spPr bwMode="auto">
                    <a:xfrm>
                      <a:off x="0" y="0"/>
                      <a:ext cx="5854065" cy="3015615"/>
                    </a:xfrm>
                    <a:prstGeom prst="rect">
                      <a:avLst/>
                    </a:prstGeom>
                    <a:noFill/>
                    <a:ln w="9525">
                      <a:noFill/>
                      <a:miter lim="800000"/>
                      <a:headEnd/>
                      <a:tailEnd/>
                    </a:ln>
                  </pic:spPr>
                </pic:pic>
              </a:graphicData>
            </a:graphic>
          </wp:anchor>
        </w:drawing>
      </w:r>
    </w:p>
    <w:p w:rsidR="00F82A18" w:rsidRDefault="00F82A18" w:rsidP="00D05E6E">
      <w:pPr>
        <w:ind w:firstLineChars="700" w:firstLine="1476"/>
        <w:rPr>
          <w:b/>
        </w:rPr>
      </w:pPr>
    </w:p>
    <w:p w:rsidR="00F82A18" w:rsidRDefault="00F82A18"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ED7D92">
      <w:pPr>
        <w:ind w:firstLineChars="700" w:firstLine="1476"/>
        <w:jc w:val="center"/>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D05E6E">
      <w:pPr>
        <w:ind w:firstLineChars="700" w:firstLine="1476"/>
        <w:rPr>
          <w:b/>
        </w:rPr>
      </w:pPr>
    </w:p>
    <w:p w:rsidR="00252CF7" w:rsidRDefault="00252CF7" w:rsidP="00F82A18">
      <w:pPr>
        <w:ind w:firstLineChars="700" w:firstLine="1476"/>
        <w:rPr>
          <w:b/>
        </w:rPr>
      </w:pPr>
    </w:p>
    <w:p w:rsidR="00252CF7" w:rsidRDefault="00252CF7" w:rsidP="00D05E6E">
      <w:pPr>
        <w:ind w:firstLineChars="700" w:firstLine="1476"/>
        <w:rPr>
          <w:b/>
        </w:rPr>
      </w:pPr>
    </w:p>
    <w:p w:rsidR="00252CF7" w:rsidRDefault="00252CF7" w:rsidP="00ED7D92">
      <w:pPr>
        <w:ind w:firstLineChars="700" w:firstLine="1476"/>
        <w:rPr>
          <w:b/>
        </w:rPr>
      </w:pPr>
    </w:p>
    <w:p w:rsidR="00D503F5" w:rsidRPr="00D05E6E" w:rsidRDefault="00D503F5" w:rsidP="00D05E6E">
      <w:pPr>
        <w:ind w:firstLineChars="700" w:firstLine="1476"/>
        <w:rPr>
          <w:b/>
        </w:rPr>
      </w:pPr>
    </w:p>
    <w:p w:rsidR="00D503F5" w:rsidRPr="00E25784" w:rsidRDefault="00ED7D92" w:rsidP="00ED7D92">
      <w:pPr>
        <w:ind w:firstLineChars="650" w:firstLine="1370"/>
      </w:pPr>
      <w:r w:rsidRPr="00D05E6E">
        <w:rPr>
          <w:rFonts w:hint="eastAsia"/>
          <w:b/>
        </w:rPr>
        <w:t>建築協定区域を示す。</w:t>
      </w:r>
      <w:r>
        <w:rPr>
          <w:rFonts w:hint="eastAsia"/>
          <w:b/>
        </w:rPr>
        <w:t xml:space="preserve">                          </w:t>
      </w:r>
      <w:r>
        <w:rPr>
          <w:rFonts w:hint="eastAsia"/>
          <w:b/>
        </w:rPr>
        <w:t>協定区域の隣接地を示す。</w:t>
      </w:r>
    </w:p>
    <w:p w:rsidR="00D503F5" w:rsidRPr="00ED7D92" w:rsidRDefault="00D503F5" w:rsidP="00D503F5"/>
    <w:p w:rsidR="001809A3" w:rsidRDefault="001809A3" w:rsidP="00D503F5"/>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Pr="001809A3" w:rsidRDefault="001809A3" w:rsidP="001809A3"/>
    <w:p w:rsidR="001809A3" w:rsidRDefault="001809A3" w:rsidP="001809A3"/>
    <w:p w:rsidR="00D503F5" w:rsidRDefault="00D503F5"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p>
    <w:p w:rsidR="00ED7D92" w:rsidRDefault="00ED7D92" w:rsidP="001809A3">
      <w:pPr>
        <w:rPr>
          <w:rFonts w:hint="eastAsia"/>
        </w:rPr>
      </w:pPr>
      <w:r>
        <w:rPr>
          <w:rFonts w:hint="eastAsia"/>
          <w:noProof/>
        </w:rPr>
        <w:lastRenderedPageBreak/>
        <w:drawing>
          <wp:anchor distT="0" distB="0" distL="114300" distR="114300" simplePos="0" relativeHeight="251662336" behindDoc="1" locked="0" layoutInCell="1" allowOverlap="1">
            <wp:simplePos x="0" y="0"/>
            <wp:positionH relativeFrom="column">
              <wp:posOffset>-19734</wp:posOffset>
            </wp:positionH>
            <wp:positionV relativeFrom="paragraph">
              <wp:posOffset>879</wp:posOffset>
            </wp:positionV>
            <wp:extent cx="5849034" cy="9119826"/>
            <wp:effectExtent l="19050" t="0" r="0" b="0"/>
            <wp:wrapNone/>
            <wp:docPr id="4" name="図 3" descr="新光風台2-18番地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光風台2-18番地地区.jpg"/>
                    <pic:cNvPicPr/>
                  </pic:nvPicPr>
                  <pic:blipFill>
                    <a:blip r:embed="rId9" cstate="print"/>
                    <a:stretch>
                      <a:fillRect/>
                    </a:stretch>
                  </pic:blipFill>
                  <pic:spPr>
                    <a:xfrm>
                      <a:off x="0" y="0"/>
                      <a:ext cx="5853322" cy="9126512"/>
                    </a:xfrm>
                    <a:prstGeom prst="rect">
                      <a:avLst/>
                    </a:prstGeom>
                  </pic:spPr>
                </pic:pic>
              </a:graphicData>
            </a:graphic>
          </wp:anchor>
        </w:drawing>
      </w:r>
    </w:p>
    <w:p w:rsidR="00ED7D92" w:rsidRPr="001809A3" w:rsidRDefault="00ED7D92" w:rsidP="001809A3"/>
    <w:sectPr w:rsidR="00ED7D92" w:rsidRPr="001809A3" w:rsidSect="00F82A18">
      <w:pgSz w:w="11906" w:h="16838" w:code="9"/>
      <w:pgMar w:top="1134" w:right="1134" w:bottom="1134"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F8" w:rsidRDefault="003E27F8" w:rsidP="00BA6375">
      <w:r>
        <w:separator/>
      </w:r>
    </w:p>
  </w:endnote>
  <w:endnote w:type="continuationSeparator" w:id="0">
    <w:p w:rsidR="003E27F8" w:rsidRDefault="003E27F8" w:rsidP="00BA6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F8" w:rsidRDefault="003E27F8" w:rsidP="00BA6375">
      <w:r>
        <w:separator/>
      </w:r>
    </w:p>
  </w:footnote>
  <w:footnote w:type="continuationSeparator" w:id="0">
    <w:p w:rsidR="003E27F8" w:rsidRDefault="003E27F8" w:rsidP="00BA6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6B0D"/>
    <w:multiLevelType w:val="hybridMultilevel"/>
    <w:tmpl w:val="CB40CC2C"/>
    <w:lvl w:ilvl="0" w:tplc="06822232">
      <w:start w:val="2"/>
      <w:numFmt w:val="decimal"/>
      <w:lvlText w:val="%1、"/>
      <w:lvlJc w:val="left"/>
      <w:pPr>
        <w:tabs>
          <w:tab w:val="num" w:pos="1320"/>
        </w:tabs>
        <w:ind w:left="1320" w:hanging="540"/>
      </w:pPr>
      <w:rPr>
        <w:rFonts w:hint="eastAsia"/>
      </w:rPr>
    </w:lvl>
    <w:lvl w:ilvl="1" w:tplc="65E098E0">
      <w:start w:val="1"/>
      <w:numFmt w:val="irohaFullWidth"/>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nsid w:val="5C3F3917"/>
    <w:multiLevelType w:val="hybridMultilevel"/>
    <w:tmpl w:val="82A6AC7C"/>
    <w:lvl w:ilvl="0" w:tplc="FC1675D2">
      <w:start w:val="1"/>
      <w:numFmt w:val="aiueo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638238C7"/>
    <w:multiLevelType w:val="hybridMultilevel"/>
    <w:tmpl w:val="89AAA52E"/>
    <w:lvl w:ilvl="0" w:tplc="87449C5A">
      <w:start w:val="1"/>
      <w:numFmt w:val="decimalFullWidth"/>
      <w:lvlText w:val="第%1条"/>
      <w:lvlJc w:val="left"/>
      <w:pPr>
        <w:tabs>
          <w:tab w:val="num" w:pos="840"/>
        </w:tabs>
        <w:ind w:left="840" w:hanging="840"/>
      </w:pPr>
      <w:rPr>
        <w:rFonts w:hint="eastAsia"/>
        <w:lang w:val="en-US"/>
      </w:rPr>
    </w:lvl>
    <w:lvl w:ilvl="1" w:tplc="ACC6A0D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253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234"/>
    <w:rsid w:val="00035F21"/>
    <w:rsid w:val="000F10D9"/>
    <w:rsid w:val="00111A55"/>
    <w:rsid w:val="001809A3"/>
    <w:rsid w:val="00233BE5"/>
    <w:rsid w:val="00252CF7"/>
    <w:rsid w:val="00356286"/>
    <w:rsid w:val="00381A53"/>
    <w:rsid w:val="003A7B11"/>
    <w:rsid w:val="003C201C"/>
    <w:rsid w:val="003C644D"/>
    <w:rsid w:val="003E27F8"/>
    <w:rsid w:val="00493CE8"/>
    <w:rsid w:val="00502091"/>
    <w:rsid w:val="00556A50"/>
    <w:rsid w:val="005B1B55"/>
    <w:rsid w:val="00664310"/>
    <w:rsid w:val="006B693A"/>
    <w:rsid w:val="006F22EB"/>
    <w:rsid w:val="00736C65"/>
    <w:rsid w:val="00737433"/>
    <w:rsid w:val="007534DF"/>
    <w:rsid w:val="00754863"/>
    <w:rsid w:val="0077785F"/>
    <w:rsid w:val="007C6F5B"/>
    <w:rsid w:val="008B3487"/>
    <w:rsid w:val="008C0EE7"/>
    <w:rsid w:val="00900120"/>
    <w:rsid w:val="00947536"/>
    <w:rsid w:val="009637F0"/>
    <w:rsid w:val="009D4574"/>
    <w:rsid w:val="009D7B69"/>
    <w:rsid w:val="00A039FD"/>
    <w:rsid w:val="00A54BCB"/>
    <w:rsid w:val="00A72113"/>
    <w:rsid w:val="00B329DC"/>
    <w:rsid w:val="00B901F1"/>
    <w:rsid w:val="00BA6375"/>
    <w:rsid w:val="00C14B35"/>
    <w:rsid w:val="00C64898"/>
    <w:rsid w:val="00CB22E7"/>
    <w:rsid w:val="00CD6E53"/>
    <w:rsid w:val="00D05E6E"/>
    <w:rsid w:val="00D068BD"/>
    <w:rsid w:val="00D16DB1"/>
    <w:rsid w:val="00D46E17"/>
    <w:rsid w:val="00D503F5"/>
    <w:rsid w:val="00E02842"/>
    <w:rsid w:val="00E25784"/>
    <w:rsid w:val="00E54650"/>
    <w:rsid w:val="00E9208A"/>
    <w:rsid w:val="00E9212A"/>
    <w:rsid w:val="00EC4291"/>
    <w:rsid w:val="00ED7D92"/>
    <w:rsid w:val="00F41979"/>
    <w:rsid w:val="00F82A18"/>
    <w:rsid w:val="00F95234"/>
    <w:rsid w:val="00FC27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2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F95234"/>
    <w:pPr>
      <w:ind w:leftChars="400" w:left="1260" w:hangingChars="200" w:hanging="420"/>
    </w:pPr>
    <w:rPr>
      <w:rFonts w:ascii="Century" w:eastAsia="ＭＳ 明朝" w:hAnsi="Century" w:cs="Times New Roman"/>
      <w:szCs w:val="24"/>
    </w:rPr>
  </w:style>
  <w:style w:type="character" w:customStyle="1" w:styleId="a5">
    <w:name w:val="本文インデント (文字)"/>
    <w:basedOn w:val="a0"/>
    <w:link w:val="a4"/>
    <w:rsid w:val="00F95234"/>
    <w:rPr>
      <w:rFonts w:ascii="Century" w:eastAsia="ＭＳ 明朝" w:hAnsi="Century" w:cs="Times New Roman"/>
      <w:szCs w:val="24"/>
    </w:rPr>
  </w:style>
  <w:style w:type="paragraph" w:styleId="a6">
    <w:name w:val="header"/>
    <w:basedOn w:val="a"/>
    <w:link w:val="a7"/>
    <w:uiPriority w:val="99"/>
    <w:semiHidden/>
    <w:unhideWhenUsed/>
    <w:rsid w:val="00BA6375"/>
    <w:pPr>
      <w:tabs>
        <w:tab w:val="center" w:pos="4252"/>
        <w:tab w:val="right" w:pos="8504"/>
      </w:tabs>
      <w:snapToGrid w:val="0"/>
    </w:pPr>
  </w:style>
  <w:style w:type="character" w:customStyle="1" w:styleId="a7">
    <w:name w:val="ヘッダー (文字)"/>
    <w:basedOn w:val="a0"/>
    <w:link w:val="a6"/>
    <w:uiPriority w:val="99"/>
    <w:semiHidden/>
    <w:rsid w:val="00BA6375"/>
  </w:style>
  <w:style w:type="paragraph" w:styleId="a8">
    <w:name w:val="footer"/>
    <w:basedOn w:val="a"/>
    <w:link w:val="a9"/>
    <w:uiPriority w:val="99"/>
    <w:semiHidden/>
    <w:unhideWhenUsed/>
    <w:rsid w:val="00BA6375"/>
    <w:pPr>
      <w:tabs>
        <w:tab w:val="center" w:pos="4252"/>
        <w:tab w:val="right" w:pos="8504"/>
      </w:tabs>
      <w:snapToGrid w:val="0"/>
    </w:pPr>
  </w:style>
  <w:style w:type="character" w:customStyle="1" w:styleId="a9">
    <w:name w:val="フッター (文字)"/>
    <w:basedOn w:val="a0"/>
    <w:link w:val="a8"/>
    <w:uiPriority w:val="99"/>
    <w:semiHidden/>
    <w:rsid w:val="00BA6375"/>
  </w:style>
  <w:style w:type="paragraph" w:styleId="aa">
    <w:name w:val="Balloon Text"/>
    <w:basedOn w:val="a"/>
    <w:link w:val="ab"/>
    <w:uiPriority w:val="99"/>
    <w:semiHidden/>
    <w:unhideWhenUsed/>
    <w:rsid w:val="00D503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03F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30598281">
      <w:bodyDiv w:val="1"/>
      <w:marLeft w:val="0"/>
      <w:marRight w:val="0"/>
      <w:marTop w:val="0"/>
      <w:marBottom w:val="0"/>
      <w:divBdr>
        <w:top w:val="none" w:sz="0" w:space="0" w:color="auto"/>
        <w:left w:val="none" w:sz="0" w:space="0" w:color="auto"/>
        <w:bottom w:val="none" w:sz="0" w:space="0" w:color="auto"/>
        <w:right w:val="none" w:sz="0" w:space="0" w:color="auto"/>
      </w:divBdr>
      <w:divsChild>
        <w:div w:id="806556394">
          <w:marLeft w:val="3"/>
          <w:marRight w:val="3"/>
          <w:marTop w:val="0"/>
          <w:marBottom w:val="135"/>
          <w:divBdr>
            <w:top w:val="none" w:sz="0" w:space="0" w:color="auto"/>
            <w:left w:val="none" w:sz="0" w:space="0" w:color="auto"/>
            <w:bottom w:val="none" w:sz="0" w:space="0" w:color="auto"/>
            <w:right w:val="none" w:sz="0" w:space="0" w:color="auto"/>
          </w:divBdr>
          <w:divsChild>
            <w:div w:id="338629568">
              <w:marLeft w:val="0"/>
              <w:marRight w:val="0"/>
              <w:marTop w:val="0"/>
              <w:marBottom w:val="0"/>
              <w:divBdr>
                <w:top w:val="none" w:sz="0" w:space="0" w:color="auto"/>
                <w:left w:val="none" w:sz="0" w:space="0" w:color="auto"/>
                <w:bottom w:val="none" w:sz="0" w:space="0" w:color="auto"/>
                <w:right w:val="none" w:sz="0" w:space="0" w:color="auto"/>
              </w:divBdr>
              <w:divsChild>
                <w:div w:id="1113209727">
                  <w:marLeft w:val="0"/>
                  <w:marRight w:val="0"/>
                  <w:marTop w:val="0"/>
                  <w:marBottom w:val="0"/>
                  <w:divBdr>
                    <w:top w:val="none" w:sz="0" w:space="0" w:color="auto"/>
                    <w:left w:val="none" w:sz="0" w:space="0" w:color="auto"/>
                    <w:bottom w:val="none" w:sz="0" w:space="0" w:color="auto"/>
                    <w:right w:val="none" w:sz="0" w:space="0" w:color="auto"/>
                  </w:divBdr>
                  <w:divsChild>
                    <w:div w:id="1475365625">
                      <w:marLeft w:val="0"/>
                      <w:marRight w:val="0"/>
                      <w:marTop w:val="0"/>
                      <w:marBottom w:val="0"/>
                      <w:divBdr>
                        <w:top w:val="none" w:sz="0" w:space="0" w:color="auto"/>
                        <w:left w:val="none" w:sz="0" w:space="0" w:color="auto"/>
                        <w:bottom w:val="none" w:sz="0" w:space="0" w:color="auto"/>
                        <w:right w:val="none" w:sz="0" w:space="0" w:color="auto"/>
                      </w:divBdr>
                      <w:divsChild>
                        <w:div w:id="822162174">
                          <w:marLeft w:val="0"/>
                          <w:marRight w:val="0"/>
                          <w:marTop w:val="0"/>
                          <w:marBottom w:val="0"/>
                          <w:divBdr>
                            <w:top w:val="none" w:sz="0" w:space="0" w:color="auto"/>
                            <w:left w:val="none" w:sz="0" w:space="0" w:color="auto"/>
                            <w:bottom w:val="none" w:sz="0" w:space="0" w:color="auto"/>
                            <w:right w:val="none" w:sz="0" w:space="0" w:color="auto"/>
                          </w:divBdr>
                          <w:divsChild>
                            <w:div w:id="29308873">
                              <w:marLeft w:val="0"/>
                              <w:marRight w:val="0"/>
                              <w:marTop w:val="0"/>
                              <w:marBottom w:val="0"/>
                              <w:divBdr>
                                <w:top w:val="none" w:sz="0" w:space="0" w:color="auto"/>
                                <w:left w:val="none" w:sz="0" w:space="0" w:color="auto"/>
                                <w:bottom w:val="none" w:sz="0" w:space="0" w:color="auto"/>
                                <w:right w:val="none" w:sz="0" w:space="0" w:color="auto"/>
                              </w:divBdr>
                              <w:divsChild>
                                <w:div w:id="1885289636">
                                  <w:marLeft w:val="0"/>
                                  <w:marRight w:val="0"/>
                                  <w:marTop w:val="0"/>
                                  <w:marBottom w:val="0"/>
                                  <w:divBdr>
                                    <w:top w:val="none" w:sz="0" w:space="0" w:color="auto"/>
                                    <w:left w:val="none" w:sz="0" w:space="0" w:color="auto"/>
                                    <w:bottom w:val="none" w:sz="0" w:space="0" w:color="auto"/>
                                    <w:right w:val="none" w:sz="0" w:space="0" w:color="auto"/>
                                  </w:divBdr>
                                  <w:divsChild>
                                    <w:div w:id="14867735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3BF2-A8DC-482E-897C-94D40275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豊能町</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tanaka0682</dc:creator>
  <cp:lastModifiedBy>tanaka0682</cp:lastModifiedBy>
  <cp:revision>14</cp:revision>
  <cp:lastPrinted>2010-08-25T08:18:00Z</cp:lastPrinted>
  <dcterms:created xsi:type="dcterms:W3CDTF">2010-08-25T05:31:00Z</dcterms:created>
  <dcterms:modified xsi:type="dcterms:W3CDTF">2015-10-16T05:47:00Z</dcterms:modified>
</cp:coreProperties>
</file>