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34" w:rsidRPr="0063189B" w:rsidRDefault="00F95234" w:rsidP="00F95234">
      <w:pPr>
        <w:jc w:val="center"/>
        <w:rPr>
          <w:rFonts w:ascii="ＭＳ Ｐゴシック" w:eastAsia="ＭＳ Ｐゴシック" w:hAnsi="ＭＳ Ｐゴシック"/>
          <w:b/>
          <w:color w:val="000000" w:themeColor="text1"/>
          <w:sz w:val="28"/>
          <w:szCs w:val="28"/>
        </w:rPr>
      </w:pPr>
      <w:r w:rsidRPr="0063189B">
        <w:rPr>
          <w:rFonts w:ascii="ＭＳ Ｐゴシック" w:eastAsia="ＭＳ Ｐゴシック" w:hAnsi="ＭＳ Ｐゴシック" w:hint="eastAsia"/>
          <w:b/>
          <w:color w:val="000000" w:themeColor="text1"/>
          <w:sz w:val="28"/>
          <w:szCs w:val="28"/>
        </w:rPr>
        <w:t>東ときわ台第</w:t>
      </w:r>
      <w:r w:rsidR="007534DF" w:rsidRPr="0063189B">
        <w:rPr>
          <w:rFonts w:ascii="ＭＳ Ｐゴシック" w:eastAsia="ＭＳ Ｐゴシック" w:hAnsi="ＭＳ Ｐゴシック" w:hint="eastAsia"/>
          <w:b/>
          <w:color w:val="000000" w:themeColor="text1"/>
          <w:sz w:val="28"/>
          <w:szCs w:val="28"/>
        </w:rPr>
        <w:t>２</w:t>
      </w:r>
      <w:r w:rsidRPr="0063189B">
        <w:rPr>
          <w:rFonts w:ascii="ＭＳ Ｐゴシック" w:eastAsia="ＭＳ Ｐゴシック" w:hAnsi="ＭＳ Ｐゴシック" w:hint="eastAsia"/>
          <w:b/>
          <w:color w:val="000000" w:themeColor="text1"/>
          <w:sz w:val="28"/>
          <w:szCs w:val="28"/>
        </w:rPr>
        <w:t>住宅地区</w:t>
      </w:r>
    </w:p>
    <w:tbl>
      <w:tblPr>
        <w:tblStyle w:val="a3"/>
        <w:tblW w:w="0" w:type="auto"/>
        <w:tblInd w:w="1250" w:type="dxa"/>
        <w:tblLook w:val="04A0"/>
      </w:tblPr>
      <w:tblGrid>
        <w:gridCol w:w="2268"/>
        <w:gridCol w:w="4320"/>
      </w:tblGrid>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建築協定区域の面積</w:t>
            </w:r>
          </w:p>
        </w:tc>
        <w:tc>
          <w:tcPr>
            <w:tcW w:w="4320" w:type="dxa"/>
          </w:tcPr>
          <w:p w:rsidR="00F95234" w:rsidRDefault="00947536" w:rsidP="00CE0AC8">
            <w:pPr>
              <w:rPr>
                <w:rFonts w:asciiTheme="minorEastAsia" w:hAnsiTheme="minorEastAsia"/>
                <w:szCs w:val="21"/>
              </w:rPr>
            </w:pPr>
            <w:r>
              <w:rPr>
                <w:rFonts w:asciiTheme="minorEastAsia" w:hAnsiTheme="minorEastAsia" w:hint="eastAsia"/>
                <w:szCs w:val="21"/>
              </w:rPr>
              <w:t>６９，６４４．３８</w:t>
            </w:r>
            <w:r w:rsidR="00F95234">
              <w:rPr>
                <w:rFonts w:asciiTheme="minorEastAsia" w:hAnsiTheme="minorEastAsia" w:hint="eastAsia"/>
                <w:szCs w:val="21"/>
              </w:rPr>
              <w:t>㎡</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区画数</w:t>
            </w:r>
          </w:p>
        </w:tc>
        <w:tc>
          <w:tcPr>
            <w:tcW w:w="4320" w:type="dxa"/>
          </w:tcPr>
          <w:p w:rsidR="00F95234" w:rsidRDefault="00947536" w:rsidP="00CE0AC8">
            <w:pPr>
              <w:rPr>
                <w:rFonts w:asciiTheme="minorEastAsia" w:hAnsiTheme="minorEastAsia"/>
                <w:szCs w:val="21"/>
              </w:rPr>
            </w:pPr>
            <w:r>
              <w:rPr>
                <w:rFonts w:asciiTheme="minorEastAsia" w:hAnsiTheme="minorEastAsia" w:hint="eastAsia"/>
                <w:szCs w:val="21"/>
              </w:rPr>
              <w:t>３１３</w:t>
            </w:r>
            <w:r w:rsidR="00F95234">
              <w:rPr>
                <w:rFonts w:asciiTheme="minorEastAsia" w:hAnsiTheme="minorEastAsia" w:hint="eastAsia"/>
                <w:szCs w:val="21"/>
              </w:rPr>
              <w:t>区画</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認可日</w:t>
            </w:r>
          </w:p>
        </w:tc>
        <w:tc>
          <w:tcPr>
            <w:tcW w:w="4320" w:type="dxa"/>
          </w:tcPr>
          <w:p w:rsidR="00F95234" w:rsidRDefault="00F95234" w:rsidP="007534DF">
            <w:pPr>
              <w:rPr>
                <w:rFonts w:asciiTheme="minorEastAsia" w:hAnsiTheme="minorEastAsia"/>
                <w:szCs w:val="21"/>
              </w:rPr>
            </w:pPr>
            <w:r>
              <w:rPr>
                <w:rFonts w:asciiTheme="minorEastAsia" w:hAnsiTheme="minorEastAsia" w:hint="eastAsia"/>
                <w:szCs w:val="21"/>
              </w:rPr>
              <w:t>平成</w:t>
            </w:r>
            <w:r w:rsidR="007534DF">
              <w:rPr>
                <w:rFonts w:asciiTheme="minorEastAsia" w:hAnsiTheme="minorEastAsia" w:hint="eastAsia"/>
                <w:szCs w:val="21"/>
              </w:rPr>
              <w:t>２１</w:t>
            </w:r>
            <w:r>
              <w:rPr>
                <w:rFonts w:asciiTheme="minorEastAsia" w:hAnsiTheme="minorEastAsia" w:hint="eastAsia"/>
                <w:szCs w:val="21"/>
              </w:rPr>
              <w:t>年１月</w:t>
            </w:r>
            <w:r w:rsidR="007534DF">
              <w:rPr>
                <w:rFonts w:asciiTheme="minorEastAsia" w:hAnsiTheme="minorEastAsia" w:hint="eastAsia"/>
                <w:szCs w:val="21"/>
              </w:rPr>
              <w:t>１６</w:t>
            </w:r>
            <w:r>
              <w:rPr>
                <w:rFonts w:asciiTheme="minorEastAsia" w:hAnsiTheme="minorEastAsia" w:hint="eastAsia"/>
                <w:szCs w:val="21"/>
              </w:rPr>
              <w:t>日</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有効期間</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認可日から１０年間（以降５年毎自動更新）</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用途地域</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第一種低層住居専用地域</w:t>
            </w:r>
          </w:p>
        </w:tc>
      </w:tr>
    </w:tbl>
    <w:p w:rsidR="00F95234" w:rsidRPr="0063189B" w:rsidRDefault="00F95234" w:rsidP="00F95234">
      <w:pPr>
        <w:rPr>
          <w:rFonts w:asciiTheme="minorEastAsia" w:hAnsiTheme="minorEastAsia"/>
          <w:szCs w:val="21"/>
        </w:rPr>
      </w:pPr>
    </w:p>
    <w:p w:rsidR="00F95234" w:rsidRDefault="00F95234" w:rsidP="00F95234">
      <w:pPr>
        <w:rPr>
          <w:rFonts w:asciiTheme="minorEastAsia" w:hAnsiTheme="minorEastAsia"/>
          <w:szCs w:val="21"/>
        </w:rPr>
      </w:pPr>
      <w:r>
        <w:rPr>
          <w:rFonts w:asciiTheme="minorEastAsia" w:hAnsiTheme="minorEastAsia" w:hint="eastAsia"/>
          <w:szCs w:val="21"/>
        </w:rPr>
        <w:t>■建築物の基準の概要（協定書抜粋）</w:t>
      </w:r>
    </w:p>
    <w:p w:rsidR="009637F0" w:rsidRPr="00897603" w:rsidRDefault="009637F0" w:rsidP="009637F0">
      <w:pPr>
        <w:overflowPunct w:val="0"/>
        <w:adjustRightInd w:val="0"/>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（建築物に関する基準</w:t>
      </w:r>
      <w:r w:rsidRPr="00897603">
        <w:rPr>
          <w:rFonts w:ascii="ＭＳ 明朝" w:eastAsia="ＭＳ 明朝" w:hAnsi="ＭＳ 明朝" w:cs="ＭＳ 明朝"/>
          <w:color w:val="000000"/>
          <w:kern w:val="0"/>
        </w:rPr>
        <w:t>)</w:t>
      </w:r>
    </w:p>
    <w:p w:rsidR="009637F0" w:rsidRPr="00897603" w:rsidRDefault="009637F0" w:rsidP="009637F0">
      <w:pPr>
        <w:overflowPunct w:val="0"/>
        <w:adjustRightInd w:val="0"/>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第６条　　協定区域内の建築物に関する基準は、次の各号に定めるところによる。</w:t>
      </w:r>
    </w:p>
    <w:p w:rsidR="009637F0" w:rsidRPr="00897603" w:rsidRDefault="009637F0" w:rsidP="009637F0">
      <w:pPr>
        <w:overflowPunct w:val="0"/>
        <w:adjustRightInd w:val="0"/>
        <w:ind w:leftChars="200" w:left="840" w:hangingChars="200" w:hanging="420"/>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１．建築物は、造成完了時の１区画に１戸の住居専用住宅とし、区画の再分割は出来ないものとする。（寮や、アパ－ト、文化住宅等の集合住宅あるいは、隣接住</w:t>
      </w:r>
      <w:r>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宅の品位、環境を損なうような建物は建築できない。）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但し、第１１条に規定する委員会が住宅環境を損なわないと特に認めた店舗及び診療所等の商業施設兼用住宅はこの限りではないが、近隣から苦情等が出た場合については、誠意をもつて速やかに改善措置を行う事の誓約書及び近隣の同意を必要とする。</w:t>
      </w:r>
    </w:p>
    <w:p w:rsidR="009637F0" w:rsidRPr="00897603" w:rsidRDefault="009637F0" w:rsidP="009637F0">
      <w:pPr>
        <w:overflowPunct w:val="0"/>
        <w:adjustRightInd w:val="0"/>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 xml:space="preserve">　　</w:t>
      </w: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２．階数は、地階を除き２以下とする。</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 xml:space="preserve">　　</w:t>
      </w: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３．建築物（突出部分を含む）の高さは、「造成完了時の地盤面」より９メ－トルをこえてはならない。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 xml:space="preserve">　</w:t>
      </w: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４．建築物の外壁またはこれにかわる柱の面は、敷地境界線より全周</w:t>
      </w:r>
      <w:r w:rsidRPr="00897603">
        <w:rPr>
          <w:rFonts w:ascii="Times New Roman" w:eastAsia="ＭＳ 明朝" w:hAnsi="Times New Roman"/>
          <w:color w:val="000000"/>
          <w:kern w:val="0"/>
          <w:sz w:val="20"/>
          <w:szCs w:val="20"/>
        </w:rPr>
        <w:t xml:space="preserve">1 </w:t>
      </w:r>
      <w:r w:rsidRPr="00897603">
        <w:rPr>
          <w:rFonts w:ascii="Times New Roman" w:eastAsia="ＭＳ 明朝" w:hAnsi="Times New Roman" w:cs="ＭＳ 明朝" w:hint="eastAsia"/>
          <w:color w:val="000000"/>
          <w:kern w:val="0"/>
          <w:sz w:val="20"/>
          <w:szCs w:val="20"/>
        </w:rPr>
        <w:t>．５</w:t>
      </w:r>
      <w:r w:rsidRPr="00897603">
        <w:rPr>
          <w:rFonts w:ascii="Times New Roman" w:eastAsia="ＭＳ 明朝" w:hAnsi="Times New Roman" w:cs="ＭＳ 明朝" w:hint="eastAsia"/>
          <w:color w:val="000000"/>
          <w:kern w:val="0"/>
        </w:rPr>
        <w:t>メ－トル以上後退させな</w:t>
      </w:r>
      <w:r>
        <w:rPr>
          <w:rFonts w:ascii="Times New Roman" w:eastAsia="ＭＳ 明朝" w:hAnsi="Times New Roman" w:cs="ＭＳ 明朝" w:hint="eastAsia"/>
          <w:color w:val="000000"/>
          <w:kern w:val="0"/>
        </w:rPr>
        <w:t>ければならない。但し、次の各号に該当する場合はこの限りでは</w:t>
      </w:r>
      <w:r w:rsidRPr="00897603">
        <w:rPr>
          <w:rFonts w:ascii="Times New Roman" w:eastAsia="ＭＳ 明朝" w:hAnsi="Times New Roman" w:cs="ＭＳ 明朝" w:hint="eastAsia"/>
          <w:color w:val="000000"/>
          <w:kern w:val="0"/>
        </w:rPr>
        <w:t>ない。</w:t>
      </w:r>
    </w:p>
    <w:p w:rsidR="009637F0" w:rsidRPr="00897603" w:rsidRDefault="009637F0" w:rsidP="009637F0">
      <w:pPr>
        <w:overflowPunct w:val="0"/>
        <w:adjustRightInd w:val="0"/>
        <w:ind w:left="1046" w:hangingChars="498" w:hanging="1046"/>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00947536">
        <w:rPr>
          <w:rFonts w:ascii="Times New Roman" w:eastAsia="ＭＳ 明朝" w:hAnsi="Times New Roman" w:cs="ＭＳ 明朝" w:hint="eastAsia"/>
          <w:color w:val="000000"/>
          <w:kern w:val="0"/>
        </w:rPr>
        <w:t xml:space="preserve">（ａ）　</w:t>
      </w:r>
      <w:r w:rsidRPr="00897603">
        <w:rPr>
          <w:rFonts w:ascii="Times New Roman" w:eastAsia="ＭＳ 明朝" w:hAnsi="Times New Roman" w:cs="ＭＳ 明朝" w:hint="eastAsia"/>
          <w:color w:val="000000"/>
          <w:kern w:val="0"/>
        </w:rPr>
        <w:t xml:space="preserve">外壁の後退線から突出する外壁又はこれに代わる柱の中心線の長さの合計　　　　　　</w:t>
      </w:r>
      <w:r>
        <w:rPr>
          <w:rFonts w:ascii="Times New Roman" w:eastAsia="ＭＳ 明朝" w:hAnsi="Times New Roman" w:cs="ＭＳ 明朝" w:hint="eastAsia"/>
          <w:color w:val="000000"/>
          <w:kern w:val="0"/>
        </w:rPr>
        <w:t>が３メ－トル以下であること。</w:t>
      </w:r>
    </w:p>
    <w:p w:rsidR="009637F0" w:rsidRPr="00897603" w:rsidRDefault="009637F0" w:rsidP="009637F0">
      <w:pPr>
        <w:overflowPunct w:val="0"/>
        <w:adjustRightInd w:val="0"/>
        <w:ind w:left="1046" w:hangingChars="498" w:hanging="1046"/>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（ｂ）　物置その他これに類する用途に供し、軒高２．３メ－トル以下で、かつ、床面積の合計が５平方メ－トル以内であるこ</w:t>
      </w:r>
      <w:r>
        <w:rPr>
          <w:rFonts w:ascii="Times New Roman" w:eastAsia="ＭＳ 明朝" w:hAnsi="Times New Roman" w:cs="ＭＳ 明朝" w:hint="eastAsia"/>
          <w:color w:val="000000"/>
          <w:kern w:val="0"/>
        </w:rPr>
        <w:t>と。</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 xml:space="preserve">　</w:t>
      </w:r>
      <w:r w:rsidRPr="00897603">
        <w:rPr>
          <w:rFonts w:ascii="Times New Roman" w:eastAsia="ＭＳ 明朝" w:hAnsi="Times New Roman"/>
          <w:color w:val="000000"/>
          <w:kern w:val="0"/>
        </w:rPr>
        <w:t xml:space="preserve">  </w:t>
      </w:r>
      <w:r w:rsidR="00947536">
        <w:rPr>
          <w:rFonts w:ascii="Times New Roman" w:eastAsia="ＭＳ 明朝" w:hAnsi="Times New Roman" w:hint="eastAsia"/>
          <w:color w:val="000000"/>
          <w:kern w:val="0"/>
        </w:rPr>
        <w:t xml:space="preserve">　</w:t>
      </w:r>
      <w:r w:rsidRPr="00897603">
        <w:rPr>
          <w:rFonts w:ascii="Times New Roman" w:eastAsia="ＭＳ 明朝" w:hAnsi="Times New Roman" w:cs="ＭＳ 明朝" w:hint="eastAsia"/>
          <w:color w:val="000000"/>
          <w:kern w:val="0"/>
        </w:rPr>
        <w:t>５</w:t>
      </w:r>
      <w:r w:rsidR="00947536">
        <w:rPr>
          <w:rFonts w:ascii="Times New Roman" w:eastAsia="ＭＳ 明朝" w:hAnsi="Times New Roman" w:hint="eastAsia"/>
          <w:color w:val="000000"/>
          <w:kern w:val="0"/>
        </w:rPr>
        <w:t>．</w:t>
      </w:r>
      <w:r w:rsidRPr="00897603">
        <w:rPr>
          <w:rFonts w:ascii="Times New Roman" w:eastAsia="ＭＳ 明朝" w:hAnsi="Times New Roman" w:cs="ＭＳ 明朝" w:hint="eastAsia"/>
          <w:color w:val="000000"/>
          <w:kern w:val="0"/>
        </w:rPr>
        <w:t>敷地から道路への出入り口は、別紙区画街路図面緑色着色道路並びに青色着色通路に面して設けてはならない。車庫の出入り口も同様とする。但し、茶色着色道路については、別紙区画街路図により指定する場所以外に設けてはなら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00947536">
        <w:rPr>
          <w:rFonts w:ascii="Times New Roman" w:eastAsia="ＭＳ 明朝" w:hAnsi="Times New Roman" w:hint="eastAsia"/>
          <w:color w:val="000000"/>
          <w:kern w:val="0"/>
        </w:rPr>
        <w:t xml:space="preserve">　</w:t>
      </w:r>
      <w:r w:rsidRPr="00897603">
        <w:rPr>
          <w:rFonts w:ascii="Times New Roman" w:eastAsia="ＭＳ 明朝" w:hAnsi="Times New Roman" w:cs="ＭＳ 明朝" w:hint="eastAsia"/>
          <w:color w:val="000000"/>
          <w:kern w:val="0"/>
        </w:rPr>
        <w:t>６．建築物及び工作物の築造、並びに追加変更工事については下記によらなければならない。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イ）造成完了時の石積擁壁の天端外端から垂直に立ち上がる線より外周境界方向へはみ出してはならない。但し、軒の出及びひさしについてはこの限りでない。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s="ＭＳ 明朝" w:hint="eastAsia"/>
          <w:color w:val="000000"/>
          <w:kern w:val="0"/>
        </w:rPr>
        <w:t xml:space="preserve">　</w:t>
      </w: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ロ）造成完了時の石積擁壁の勾配よりはみ出してはならない。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00947536">
        <w:rPr>
          <w:rFonts w:ascii="Times New Roman" w:eastAsia="ＭＳ 明朝" w:hAnsi="Times New Roman" w:hint="eastAsia"/>
          <w:color w:val="000000"/>
          <w:kern w:val="0"/>
        </w:rPr>
        <w:t xml:space="preserve">　</w:t>
      </w:r>
      <w:r w:rsidRPr="00897603">
        <w:rPr>
          <w:rFonts w:ascii="Times New Roman" w:eastAsia="ＭＳ 明朝" w:hAnsi="Times New Roman" w:cs="ＭＳ 明朝" w:hint="eastAsia"/>
          <w:color w:val="000000"/>
          <w:kern w:val="0"/>
        </w:rPr>
        <w:t>７．「造成完了時の地盤面」の高さを変更してはならない。但し、造園及び車庫の築造による一部の変更はこの限りでない。</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00947536">
        <w:rPr>
          <w:rFonts w:ascii="Times New Roman" w:eastAsia="ＭＳ 明朝" w:hAnsi="Times New Roman" w:hint="eastAsia"/>
          <w:color w:val="000000"/>
          <w:kern w:val="0"/>
        </w:rPr>
        <w:t xml:space="preserve">　</w:t>
      </w:r>
      <w:r w:rsidRPr="00897603">
        <w:rPr>
          <w:rFonts w:ascii="Times New Roman" w:eastAsia="ＭＳ 明朝" w:hAnsi="Times New Roman" w:cs="ＭＳ 明朝" w:hint="eastAsia"/>
          <w:color w:val="000000"/>
          <w:kern w:val="0"/>
        </w:rPr>
        <w:t>８．門、車庫等の扉は開放時に敷地境界線を越えないものとする。</w:t>
      </w:r>
    </w:p>
    <w:p w:rsidR="009637F0" w:rsidRPr="00897603" w:rsidRDefault="009637F0" w:rsidP="009637F0">
      <w:pPr>
        <w:overflowPunct w:val="0"/>
        <w:adjustRightInd w:val="0"/>
        <w:ind w:left="838" w:hangingChars="399" w:hanging="838"/>
        <w:textAlignment w:val="baseline"/>
        <w:rPr>
          <w:rFonts w:ascii="ＭＳ 明朝" w:eastAsia="ＭＳ 明朝"/>
          <w:color w:val="000000"/>
          <w:kern w:val="0"/>
        </w:rPr>
      </w:pPr>
      <w:r w:rsidRPr="00897603">
        <w:rPr>
          <w:rFonts w:ascii="Times New Roman" w:eastAsia="ＭＳ 明朝" w:hAnsi="Times New Roman"/>
          <w:color w:val="000000"/>
          <w:kern w:val="0"/>
        </w:rPr>
        <w:t xml:space="preserve">    </w:t>
      </w:r>
      <w:r w:rsidR="00947536">
        <w:rPr>
          <w:rFonts w:ascii="Times New Roman" w:eastAsia="ＭＳ 明朝" w:hAnsi="Times New Roman" w:hint="eastAsia"/>
          <w:color w:val="000000"/>
          <w:kern w:val="0"/>
        </w:rPr>
        <w:t xml:space="preserve">　</w:t>
      </w:r>
      <w:r w:rsidRPr="00897603">
        <w:rPr>
          <w:rFonts w:ascii="Times New Roman" w:eastAsia="ＭＳ 明朝" w:hAnsi="Times New Roman" w:cs="ＭＳ 明朝" w:hint="eastAsia"/>
          <w:color w:val="000000"/>
          <w:kern w:val="0"/>
        </w:rPr>
        <w:t>９．建築物及び付随する構築物の色彩、形態は良好な住宅地に調和するものでなければならない。</w:t>
      </w:r>
    </w:p>
    <w:p w:rsidR="009637F0" w:rsidRDefault="009637F0" w:rsidP="009637F0">
      <w:pPr>
        <w:overflowPunct w:val="0"/>
        <w:adjustRightInd w:val="0"/>
        <w:ind w:left="630" w:hangingChars="300" w:hanging="630"/>
        <w:textAlignment w:val="baseline"/>
        <w:rPr>
          <w:rFonts w:ascii="Times New Roman" w:eastAsia="ＭＳ 明朝" w:hAnsi="Times New Roman" w:cs="ＭＳ 明朝"/>
          <w:color w:val="000000"/>
          <w:kern w:val="0"/>
        </w:rPr>
      </w:pPr>
      <w:r w:rsidRPr="00897603">
        <w:rPr>
          <w:rFonts w:ascii="Times New Roman" w:eastAsia="ＭＳ 明朝" w:hAnsi="Times New Roman"/>
          <w:color w:val="000000"/>
          <w:kern w:val="0"/>
        </w:rPr>
        <w:t xml:space="preserve"> </w:t>
      </w:r>
      <w:r w:rsidRPr="00897603">
        <w:rPr>
          <w:rFonts w:ascii="Times New Roman" w:eastAsia="ＭＳ 明朝" w:hAnsi="Times New Roman" w:cs="ＭＳ 明朝" w:hint="eastAsia"/>
          <w:color w:val="000000"/>
          <w:kern w:val="0"/>
        </w:rPr>
        <w:t xml:space="preserve">　</w:t>
      </w:r>
      <w:r w:rsidR="00947536">
        <w:rPr>
          <w:rFonts w:ascii="Times New Roman" w:eastAsia="ＭＳ 明朝" w:hAnsi="Times New Roman" w:cs="ＭＳ 明朝" w:hint="eastAsia"/>
          <w:color w:val="000000"/>
          <w:kern w:val="0"/>
        </w:rPr>
        <w:t xml:space="preserve"> </w:t>
      </w:r>
      <w:r w:rsidR="00947536">
        <w:rPr>
          <w:rFonts w:ascii="Times New Roman" w:eastAsia="ＭＳ 明朝" w:hAnsi="Times New Roman" w:cs="ＭＳ 明朝" w:hint="eastAsia"/>
          <w:color w:val="000000"/>
          <w:kern w:val="0"/>
        </w:rPr>
        <w:t>１０．</w:t>
      </w:r>
      <w:r w:rsidRPr="00897603">
        <w:rPr>
          <w:rFonts w:ascii="Times New Roman" w:eastAsia="ＭＳ 明朝" w:hAnsi="Times New Roman" w:cs="ＭＳ 明朝" w:hint="eastAsia"/>
          <w:color w:val="000000"/>
          <w:kern w:val="0"/>
        </w:rPr>
        <w:t>敷地内の空き地は樹木により極力緑化に努めるものとし、境界に面する垣，柵の構造は、生け垣又はパイプフェンス、ネツトフェンスとし、見通し及び緑化の妨げとなる土塀、コンクリ－トブロツク塀、板塀等にしてはならない。但し、門柱及び意匠上これに付属する部分、並びに天端高４０センチメ－トル以下の上記フェンスの基礎はこの限りでない。</w:t>
      </w:r>
    </w:p>
    <w:p w:rsidR="00841DDB" w:rsidRPr="00841DDB" w:rsidRDefault="00841DDB" w:rsidP="009637F0">
      <w:pPr>
        <w:overflowPunct w:val="0"/>
        <w:adjustRightInd w:val="0"/>
        <w:ind w:left="630" w:hangingChars="300" w:hanging="630"/>
        <w:textAlignment w:val="baseline"/>
        <w:rPr>
          <w:rFonts w:ascii="ＭＳ 明朝" w:eastAsia="ＭＳ 明朝"/>
          <w:color w:val="000000"/>
          <w:kern w:val="0"/>
        </w:rPr>
      </w:pPr>
    </w:p>
    <w:p w:rsidR="00F95234" w:rsidRPr="00D519B6" w:rsidRDefault="00F95234" w:rsidP="00F95234">
      <w:pPr>
        <w:rPr>
          <w:rFonts w:asciiTheme="minorEastAsia" w:hAnsiTheme="minorEastAsia"/>
          <w:szCs w:val="21"/>
        </w:rPr>
      </w:pPr>
    </w:p>
    <w:p w:rsidR="00F95234" w:rsidRDefault="001C26E5" w:rsidP="00F95234">
      <w:pPr>
        <w:jc w:val="center"/>
        <w:rPr>
          <w:rFonts w:ascii="ＭＳ Ｐゴシック" w:eastAsia="ＭＳ Ｐゴシック" w:hAnsi="ＭＳ Ｐゴシック"/>
          <w:b/>
          <w:sz w:val="32"/>
          <w:szCs w:val="32"/>
          <w:bdr w:val="single" w:sz="4" w:space="0" w:color="auto"/>
        </w:rPr>
      </w:pPr>
      <w:r>
        <w:rPr>
          <w:rFonts w:ascii="ＭＳ Ｐゴシック" w:eastAsia="ＭＳ Ｐゴシック" w:hAnsi="ＭＳ Ｐゴシック" w:hint="eastAsia"/>
          <w:b/>
          <w:noProof/>
          <w:sz w:val="32"/>
          <w:szCs w:val="32"/>
        </w:rPr>
        <w:lastRenderedPageBreak/>
        <w:drawing>
          <wp:anchor distT="0" distB="0" distL="114300" distR="114300" simplePos="0" relativeHeight="251658240" behindDoc="1" locked="0" layoutInCell="1" allowOverlap="1">
            <wp:simplePos x="0" y="0"/>
            <wp:positionH relativeFrom="column">
              <wp:posOffset>46990</wp:posOffset>
            </wp:positionH>
            <wp:positionV relativeFrom="paragraph">
              <wp:posOffset>351155</wp:posOffset>
            </wp:positionV>
            <wp:extent cx="5939790" cy="8753475"/>
            <wp:effectExtent l="19050" t="0" r="3810" b="0"/>
            <wp:wrapNone/>
            <wp:docPr id="1" name="図 0" descr="東ときわ台第２住宅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東ときわ台第２住宅地区.jpg"/>
                    <pic:cNvPicPr/>
                  </pic:nvPicPr>
                  <pic:blipFill>
                    <a:blip r:embed="rId7" cstate="print"/>
                    <a:stretch>
                      <a:fillRect/>
                    </a:stretch>
                  </pic:blipFill>
                  <pic:spPr>
                    <a:xfrm>
                      <a:off x="0" y="0"/>
                      <a:ext cx="5939790" cy="8753475"/>
                    </a:xfrm>
                    <a:prstGeom prst="rect">
                      <a:avLst/>
                    </a:prstGeom>
                  </pic:spPr>
                </pic:pic>
              </a:graphicData>
            </a:graphic>
          </wp:anchor>
        </w:drawing>
      </w:r>
      <w:r w:rsidR="00F95234" w:rsidRPr="00B13706">
        <w:rPr>
          <w:rFonts w:ascii="ＭＳ Ｐゴシック" w:eastAsia="ＭＳ Ｐゴシック" w:hAnsi="ＭＳ Ｐゴシック" w:hint="eastAsia"/>
          <w:b/>
          <w:sz w:val="32"/>
          <w:szCs w:val="32"/>
          <w:bdr w:val="single" w:sz="4" w:space="0" w:color="auto"/>
        </w:rPr>
        <w:t>東ときわ台第</w:t>
      </w:r>
      <w:r w:rsidR="009637F0">
        <w:rPr>
          <w:rFonts w:ascii="ＭＳ Ｐゴシック" w:eastAsia="ＭＳ Ｐゴシック" w:hAnsi="ＭＳ Ｐゴシック" w:hint="eastAsia"/>
          <w:b/>
          <w:sz w:val="32"/>
          <w:szCs w:val="32"/>
          <w:bdr w:val="single" w:sz="4" w:space="0" w:color="auto"/>
        </w:rPr>
        <w:t>２</w:t>
      </w:r>
      <w:r w:rsidR="00F95234" w:rsidRPr="00B13706">
        <w:rPr>
          <w:rFonts w:ascii="ＭＳ Ｐゴシック" w:eastAsia="ＭＳ Ｐゴシック" w:hAnsi="ＭＳ Ｐゴシック" w:hint="eastAsia"/>
          <w:b/>
          <w:sz w:val="32"/>
          <w:szCs w:val="32"/>
          <w:bdr w:val="single" w:sz="4" w:space="0" w:color="auto"/>
        </w:rPr>
        <w:t>住宅地区建築協定区域図</w:t>
      </w:r>
    </w:p>
    <w:p w:rsidR="00CD6E53" w:rsidRPr="00726CC6" w:rsidRDefault="00CD6E53"/>
    <w:p w:rsidR="00726CC6" w:rsidRPr="001C26E5"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Default="00726CC6"/>
    <w:p w:rsidR="00726CC6" w:rsidRPr="00D76848" w:rsidRDefault="00726CC6" w:rsidP="00D76848">
      <w:pPr>
        <w:ind w:firstLineChars="500" w:firstLine="803"/>
        <w:rPr>
          <w:b/>
          <w:sz w:val="16"/>
          <w:szCs w:val="16"/>
        </w:rPr>
      </w:pPr>
      <w:r w:rsidRPr="00D76848">
        <w:rPr>
          <w:rFonts w:hint="eastAsia"/>
          <w:b/>
          <w:sz w:val="16"/>
          <w:szCs w:val="16"/>
        </w:rPr>
        <w:t>建築協定区域を示す。</w:t>
      </w:r>
      <w:r w:rsidR="00D76848" w:rsidRPr="00D76848">
        <w:rPr>
          <w:rFonts w:hint="eastAsia"/>
          <w:b/>
          <w:sz w:val="16"/>
          <w:szCs w:val="16"/>
        </w:rPr>
        <w:t>（公園、道路等公共用地は除く）</w:t>
      </w:r>
    </w:p>
    <w:p w:rsidR="00726CC6" w:rsidRPr="00D76848" w:rsidRDefault="00D76848" w:rsidP="00D76848">
      <w:pPr>
        <w:ind w:firstLineChars="500" w:firstLine="803"/>
        <w:rPr>
          <w:b/>
          <w:sz w:val="16"/>
          <w:szCs w:val="16"/>
        </w:rPr>
      </w:pPr>
      <w:r w:rsidRPr="00D76848">
        <w:rPr>
          <w:rFonts w:hint="eastAsia"/>
          <w:b/>
          <w:sz w:val="16"/>
          <w:szCs w:val="16"/>
        </w:rPr>
        <w:t>建築協定区域の隣接地を示す。</w:t>
      </w:r>
    </w:p>
    <w:p w:rsidR="00726CC6" w:rsidRDefault="00726CC6"/>
    <w:sectPr w:rsidR="00726CC6" w:rsidSect="00CB22E7">
      <w:pgSz w:w="11906" w:h="16838" w:code="9"/>
      <w:pgMar w:top="1134" w:right="1134" w:bottom="1134" w:left="1418"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78" w:rsidRDefault="00441978" w:rsidP="00BA6375">
      <w:r>
        <w:separator/>
      </w:r>
    </w:p>
  </w:endnote>
  <w:endnote w:type="continuationSeparator" w:id="0">
    <w:p w:rsidR="00441978" w:rsidRDefault="00441978" w:rsidP="00BA6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78" w:rsidRDefault="00441978" w:rsidP="00BA6375">
      <w:r>
        <w:separator/>
      </w:r>
    </w:p>
  </w:footnote>
  <w:footnote w:type="continuationSeparator" w:id="0">
    <w:p w:rsidR="00441978" w:rsidRDefault="00441978" w:rsidP="00BA6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6B0D"/>
    <w:multiLevelType w:val="hybridMultilevel"/>
    <w:tmpl w:val="CB40CC2C"/>
    <w:lvl w:ilvl="0" w:tplc="06822232">
      <w:start w:val="2"/>
      <w:numFmt w:val="decimal"/>
      <w:lvlText w:val="%1、"/>
      <w:lvlJc w:val="left"/>
      <w:pPr>
        <w:tabs>
          <w:tab w:val="num" w:pos="1320"/>
        </w:tabs>
        <w:ind w:left="1320" w:hanging="540"/>
      </w:pPr>
      <w:rPr>
        <w:rFonts w:hint="eastAsia"/>
      </w:rPr>
    </w:lvl>
    <w:lvl w:ilvl="1" w:tplc="65E098E0">
      <w:start w:val="1"/>
      <w:numFmt w:val="irohaFullWidth"/>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nsid w:val="638238C7"/>
    <w:multiLevelType w:val="hybridMultilevel"/>
    <w:tmpl w:val="1D1C1428"/>
    <w:lvl w:ilvl="0" w:tplc="7D7A57E6">
      <w:start w:val="1"/>
      <w:numFmt w:val="decimalFullWidth"/>
      <w:lvlText w:val="第%1条"/>
      <w:lvlJc w:val="left"/>
      <w:pPr>
        <w:tabs>
          <w:tab w:val="num" w:pos="840"/>
        </w:tabs>
        <w:ind w:left="840" w:hanging="840"/>
      </w:pPr>
      <w:rPr>
        <w:rFonts w:hint="eastAsia"/>
      </w:rPr>
    </w:lvl>
    <w:lvl w:ilvl="1" w:tplc="ACC6A0D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234"/>
    <w:rsid w:val="0006429D"/>
    <w:rsid w:val="000C2CFD"/>
    <w:rsid w:val="001C26E5"/>
    <w:rsid w:val="00267D11"/>
    <w:rsid w:val="002F39D5"/>
    <w:rsid w:val="003C644D"/>
    <w:rsid w:val="00441978"/>
    <w:rsid w:val="00561C6C"/>
    <w:rsid w:val="0063189B"/>
    <w:rsid w:val="00726CC6"/>
    <w:rsid w:val="007534DF"/>
    <w:rsid w:val="00754863"/>
    <w:rsid w:val="00841DDB"/>
    <w:rsid w:val="00947536"/>
    <w:rsid w:val="009637F0"/>
    <w:rsid w:val="00A72113"/>
    <w:rsid w:val="00BA6375"/>
    <w:rsid w:val="00CB22E7"/>
    <w:rsid w:val="00CD6E53"/>
    <w:rsid w:val="00D76848"/>
    <w:rsid w:val="00DF2D9F"/>
    <w:rsid w:val="00F76216"/>
    <w:rsid w:val="00F95234"/>
    <w:rsid w:val="00FC74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2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F95234"/>
    <w:pPr>
      <w:ind w:leftChars="400" w:left="1260" w:hangingChars="200" w:hanging="420"/>
    </w:pPr>
    <w:rPr>
      <w:rFonts w:ascii="Century" w:eastAsia="ＭＳ 明朝" w:hAnsi="Century" w:cs="Times New Roman"/>
      <w:szCs w:val="24"/>
    </w:rPr>
  </w:style>
  <w:style w:type="character" w:customStyle="1" w:styleId="a5">
    <w:name w:val="本文インデント (文字)"/>
    <w:basedOn w:val="a0"/>
    <w:link w:val="a4"/>
    <w:rsid w:val="00F95234"/>
    <w:rPr>
      <w:rFonts w:ascii="Century" w:eastAsia="ＭＳ 明朝" w:hAnsi="Century" w:cs="Times New Roman"/>
      <w:szCs w:val="24"/>
    </w:rPr>
  </w:style>
  <w:style w:type="paragraph" w:styleId="a6">
    <w:name w:val="header"/>
    <w:basedOn w:val="a"/>
    <w:link w:val="a7"/>
    <w:uiPriority w:val="99"/>
    <w:semiHidden/>
    <w:unhideWhenUsed/>
    <w:rsid w:val="00BA6375"/>
    <w:pPr>
      <w:tabs>
        <w:tab w:val="center" w:pos="4252"/>
        <w:tab w:val="right" w:pos="8504"/>
      </w:tabs>
      <w:snapToGrid w:val="0"/>
    </w:pPr>
  </w:style>
  <w:style w:type="character" w:customStyle="1" w:styleId="a7">
    <w:name w:val="ヘッダー (文字)"/>
    <w:basedOn w:val="a0"/>
    <w:link w:val="a6"/>
    <w:uiPriority w:val="99"/>
    <w:semiHidden/>
    <w:rsid w:val="00BA6375"/>
  </w:style>
  <w:style w:type="paragraph" w:styleId="a8">
    <w:name w:val="footer"/>
    <w:basedOn w:val="a"/>
    <w:link w:val="a9"/>
    <w:uiPriority w:val="99"/>
    <w:semiHidden/>
    <w:unhideWhenUsed/>
    <w:rsid w:val="00BA6375"/>
    <w:pPr>
      <w:tabs>
        <w:tab w:val="center" w:pos="4252"/>
        <w:tab w:val="right" w:pos="8504"/>
      </w:tabs>
      <w:snapToGrid w:val="0"/>
    </w:pPr>
  </w:style>
  <w:style w:type="character" w:customStyle="1" w:styleId="a9">
    <w:name w:val="フッター (文字)"/>
    <w:basedOn w:val="a0"/>
    <w:link w:val="a8"/>
    <w:uiPriority w:val="99"/>
    <w:semiHidden/>
    <w:rsid w:val="00BA6375"/>
  </w:style>
  <w:style w:type="paragraph" w:styleId="aa">
    <w:name w:val="Balloon Text"/>
    <w:basedOn w:val="a"/>
    <w:link w:val="ab"/>
    <w:uiPriority w:val="99"/>
    <w:semiHidden/>
    <w:unhideWhenUsed/>
    <w:rsid w:val="00726C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6CC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豊能町</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tanaka0682</dc:creator>
  <cp:lastModifiedBy>tanaka0682</cp:lastModifiedBy>
  <cp:revision>8</cp:revision>
  <cp:lastPrinted>2010-08-25T08:18:00Z</cp:lastPrinted>
  <dcterms:created xsi:type="dcterms:W3CDTF">2010-08-19T08:09:00Z</dcterms:created>
  <dcterms:modified xsi:type="dcterms:W3CDTF">2011-10-14T09:53:00Z</dcterms:modified>
</cp:coreProperties>
</file>